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jc w:val="center"/>
        <w:tblLook w:val="01E0" w:firstRow="1" w:lastRow="1" w:firstColumn="1" w:lastColumn="1" w:noHBand="0" w:noVBand="0"/>
      </w:tblPr>
      <w:tblGrid>
        <w:gridCol w:w="2952"/>
        <w:gridCol w:w="6332"/>
      </w:tblGrid>
      <w:tr w:rsidR="00DC67D2" w:rsidRPr="000C0357" w:rsidTr="008F3611">
        <w:trPr>
          <w:trHeight w:val="1007"/>
          <w:jc w:val="center"/>
        </w:trPr>
        <w:tc>
          <w:tcPr>
            <w:tcW w:w="2952" w:type="dxa"/>
          </w:tcPr>
          <w:p w:rsidR="00DC67D2" w:rsidRPr="000C0357" w:rsidRDefault="00DC67D2" w:rsidP="00DC67D2">
            <w:pPr>
              <w:jc w:val="center"/>
              <w:rPr>
                <w:b/>
                <w:color w:val="000000"/>
                <w:sz w:val="26"/>
                <w:szCs w:val="26"/>
                <w:lang w:val="en-GB"/>
              </w:rPr>
            </w:pPr>
            <w:r w:rsidRPr="000C0357">
              <w:rPr>
                <w:b/>
                <w:color w:val="000000"/>
                <w:sz w:val="26"/>
                <w:szCs w:val="26"/>
                <w:lang w:val="en-GB"/>
              </w:rPr>
              <w:t>ỦY BAN NHÂN DÂN</w:t>
            </w:r>
          </w:p>
          <w:p w:rsidR="00DC67D2" w:rsidRPr="000C0357" w:rsidRDefault="00DC67D2" w:rsidP="00DC67D2">
            <w:pPr>
              <w:jc w:val="center"/>
              <w:rPr>
                <w:b/>
                <w:color w:val="000000"/>
                <w:sz w:val="26"/>
                <w:szCs w:val="26"/>
                <w:lang w:val="en-GB"/>
              </w:rPr>
            </w:pPr>
            <w:r w:rsidRPr="000C0357">
              <w:rPr>
                <w:b/>
                <w:color w:val="000000"/>
                <w:sz w:val="26"/>
                <w:szCs w:val="26"/>
                <w:lang w:val="en-GB"/>
              </w:rPr>
              <w:t>TỈNH VĨNH PHÚC</w:t>
            </w:r>
          </w:p>
          <w:p w:rsidR="00DC67D2" w:rsidRPr="000C0357" w:rsidRDefault="00DC67D2" w:rsidP="00DC67D2">
            <w:pPr>
              <w:jc w:val="center"/>
              <w:rPr>
                <w:color w:val="000000"/>
                <w:sz w:val="26"/>
                <w:szCs w:val="26"/>
                <w:lang w:val="en-GB"/>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440690</wp:posOffset>
                      </wp:positionH>
                      <wp:positionV relativeFrom="paragraph">
                        <wp:posOffset>24129</wp:posOffset>
                      </wp:positionV>
                      <wp:extent cx="7524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817F6B"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pt,1.9pt" to="9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" strokecolor="#4a7ebb">
                      <o:lock v:ext="edit" shapetype="f"/>
                    </v:line>
                  </w:pict>
                </mc:Fallback>
              </mc:AlternateContent>
            </w:r>
          </w:p>
          <w:p w:rsidR="00DC67D2" w:rsidRPr="000C0357" w:rsidRDefault="00DC67D2" w:rsidP="00DC67D2">
            <w:pPr>
              <w:jc w:val="center"/>
              <w:rPr>
                <w:color w:val="000000"/>
                <w:sz w:val="26"/>
                <w:szCs w:val="26"/>
                <w:lang w:val="en-GB"/>
              </w:rPr>
            </w:pPr>
            <w:r w:rsidRPr="000C0357">
              <w:rPr>
                <w:color w:val="000000"/>
                <w:sz w:val="26"/>
                <w:szCs w:val="26"/>
                <w:lang w:val="en-GB"/>
              </w:rPr>
              <w:t>Số: 895/QĐ-UBND</w:t>
            </w:r>
          </w:p>
          <w:p w:rsidR="00DC67D2" w:rsidRPr="000C0357" w:rsidRDefault="00DC67D2" w:rsidP="00DC67D2">
            <w:pPr>
              <w:jc w:val="center"/>
              <w:rPr>
                <w:b/>
                <w:sz w:val="26"/>
                <w:szCs w:val="26"/>
                <w:lang w:val="en-GB"/>
              </w:rPr>
            </w:pPr>
          </w:p>
        </w:tc>
        <w:tc>
          <w:tcPr>
            <w:tcW w:w="6332" w:type="dxa"/>
          </w:tcPr>
          <w:p w:rsidR="00DC67D2" w:rsidRPr="000C0357" w:rsidRDefault="00DC67D2" w:rsidP="00DC67D2">
            <w:pPr>
              <w:jc w:val="center"/>
              <w:rPr>
                <w:b/>
                <w:color w:val="000000"/>
                <w:sz w:val="26"/>
                <w:szCs w:val="26"/>
                <w:lang w:val="en-GB"/>
              </w:rPr>
            </w:pPr>
            <w:r w:rsidRPr="000C0357">
              <w:rPr>
                <w:b/>
                <w:color w:val="000000"/>
                <w:sz w:val="26"/>
                <w:szCs w:val="26"/>
                <w:lang w:val="en-GB"/>
              </w:rPr>
              <w:t>CỘNG HÒA XÃ HỘI CHỦ NGHĨA VIỆT NAM</w:t>
            </w:r>
          </w:p>
          <w:p w:rsidR="00DC67D2" w:rsidRPr="000C0357" w:rsidRDefault="00DC67D2" w:rsidP="00DC67D2">
            <w:pPr>
              <w:jc w:val="center"/>
              <w:rPr>
                <w:b/>
                <w:color w:val="000000"/>
                <w:szCs w:val="26"/>
                <w:lang w:val="en-GB"/>
              </w:rPr>
            </w:pPr>
            <w:r w:rsidRPr="000C0357">
              <w:rPr>
                <w:b/>
                <w:color w:val="000000"/>
                <w:szCs w:val="26"/>
                <w:lang w:val="en-GB"/>
              </w:rPr>
              <w:t>Độc lập - Tự do - Hạnh phúc</w:t>
            </w:r>
          </w:p>
          <w:p w:rsidR="00DC67D2" w:rsidRPr="000C0357" w:rsidRDefault="00DC67D2" w:rsidP="00DC67D2">
            <w:pPr>
              <w:jc w:val="center"/>
              <w:rPr>
                <w:b/>
                <w:sz w:val="26"/>
                <w:szCs w:val="26"/>
                <w:lang w:val="en-G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892175</wp:posOffset>
                      </wp:positionH>
                      <wp:positionV relativeFrom="paragraph">
                        <wp:posOffset>19684</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3464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1.55pt" to="23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"/>
                  </w:pict>
                </mc:Fallback>
              </mc:AlternateContent>
            </w:r>
          </w:p>
          <w:p w:rsidR="00DC67D2" w:rsidRPr="000C0357" w:rsidRDefault="00DC67D2" w:rsidP="00DC67D2">
            <w:pPr>
              <w:jc w:val="center"/>
              <w:rPr>
                <w:sz w:val="26"/>
                <w:szCs w:val="26"/>
                <w:lang w:val="en-GB"/>
              </w:rPr>
            </w:pPr>
            <w:r w:rsidRPr="000C0357">
              <w:rPr>
                <w:i/>
                <w:color w:val="000000"/>
                <w:sz w:val="26"/>
                <w:szCs w:val="26"/>
                <w:lang w:val="en-GB"/>
              </w:rPr>
              <w:t>Vĩnh Phúc, ngày 08 tháng 5 năm 2025</w:t>
            </w:r>
          </w:p>
        </w:tc>
      </w:tr>
    </w:tbl>
    <w:p w:rsidR="00DC67D2" w:rsidRPr="000C0357" w:rsidRDefault="00DC67D2" w:rsidP="00DC67D2">
      <w:pPr>
        <w:spacing w:line="264" w:lineRule="auto"/>
        <w:jc w:val="center"/>
        <w:rPr>
          <w:b/>
          <w:szCs w:val="28"/>
          <w:lang w:val="en-GB"/>
        </w:rPr>
      </w:pPr>
      <w:r w:rsidRPr="000C0357">
        <w:rPr>
          <w:b/>
          <w:szCs w:val="28"/>
          <w:lang w:val="en-GB"/>
        </w:rPr>
        <w:t>QUYẾT ĐỊNH</w:t>
      </w:r>
    </w:p>
    <w:p w:rsidR="00DC67D2" w:rsidRPr="000C0357" w:rsidRDefault="00DC67D2" w:rsidP="00DC67D2">
      <w:pPr>
        <w:spacing w:line="264" w:lineRule="auto"/>
        <w:jc w:val="center"/>
        <w:rPr>
          <w:b/>
          <w:bCs/>
          <w:lang w:val="en-GB"/>
        </w:rPr>
      </w:pPr>
      <w:r w:rsidRPr="000C0357">
        <w:rPr>
          <w:b/>
          <w:bCs/>
          <w:lang w:val="en-GB"/>
        </w:rPr>
        <w:t>Về việc điều chỉnh kế hoạch kế hoạch đầu tư công năm 2025</w:t>
      </w:r>
    </w:p>
    <w:p w:rsidR="00DC67D2" w:rsidRPr="000C0357" w:rsidRDefault="00DC67D2" w:rsidP="00DC67D2">
      <w:pPr>
        <w:spacing w:line="264" w:lineRule="auto"/>
        <w:rPr>
          <w:rFonts w:ascii=".VnTime" w:hAnsi=".VnTime"/>
          <w:b/>
          <w:sz w:val="20"/>
          <w:lang w:val="en-G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2431415</wp:posOffset>
                </wp:positionH>
                <wp:positionV relativeFrom="paragraph">
                  <wp:posOffset>15875</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6C569" id="_x0000_t32" coordsize="21600,21600" o:spt="32" o:oned="t" path="m,l21600,21600e" filled="f">
                <v:path arrowok="t" fillok="f" o:connecttype="none"/>
                <o:lock v:ext="edit" shapetype="t"/>
              </v:shapetype>
              <v:shape id="Straight Arrow Connector 1" o:spid="_x0000_s1026" type="#_x0000_t32" style="position:absolute;margin-left:191.45pt;margin-top:1.25pt;width:9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"/>
            </w:pict>
          </mc:Fallback>
        </mc:AlternateContent>
      </w:r>
    </w:p>
    <w:p w:rsidR="00DC67D2" w:rsidRPr="000C0357" w:rsidRDefault="00DC67D2" w:rsidP="00DC67D2">
      <w:pPr>
        <w:spacing w:line="264" w:lineRule="auto"/>
        <w:rPr>
          <w:rFonts w:ascii=".VnTime" w:hAnsi=".VnTime"/>
          <w:b/>
          <w:sz w:val="20"/>
          <w:lang w:val="en-GB"/>
        </w:rPr>
      </w:pPr>
    </w:p>
    <w:p w:rsidR="00DC67D2" w:rsidRPr="000C0357" w:rsidRDefault="00DC67D2" w:rsidP="00DC67D2">
      <w:pPr>
        <w:spacing w:line="264" w:lineRule="auto"/>
        <w:jc w:val="center"/>
        <w:rPr>
          <w:b/>
          <w:szCs w:val="28"/>
          <w:lang w:val="en-GB"/>
        </w:rPr>
      </w:pPr>
      <w:r w:rsidRPr="000C0357">
        <w:rPr>
          <w:b/>
          <w:szCs w:val="28"/>
          <w:lang w:val="vi-VN"/>
        </w:rPr>
        <w:t>ỦY BAN NHÂN DÂN TỈNH</w:t>
      </w:r>
      <w:r w:rsidRPr="000C0357">
        <w:rPr>
          <w:b/>
          <w:szCs w:val="28"/>
          <w:lang w:val="en-GB"/>
        </w:rPr>
        <w:t xml:space="preserve"> VĨNH PHÚC</w:t>
      </w:r>
      <w:bookmarkStart w:id="0" w:name="_GoBack"/>
      <w:bookmarkEnd w:id="0"/>
    </w:p>
    <w:p w:rsidR="00DC67D2" w:rsidRPr="000C0357" w:rsidRDefault="00DC67D2" w:rsidP="00DC67D2">
      <w:pPr>
        <w:spacing w:line="264" w:lineRule="auto"/>
        <w:jc w:val="both"/>
        <w:rPr>
          <w:b/>
          <w:szCs w:val="28"/>
          <w:lang w:val="en-GB"/>
        </w:rPr>
      </w:pPr>
    </w:p>
    <w:p w:rsidR="00DC67D2" w:rsidRPr="000C0357" w:rsidRDefault="00DC67D2" w:rsidP="00DC67D2">
      <w:pPr>
        <w:spacing w:line="400" w:lineRule="exact"/>
        <w:ind w:firstLine="720"/>
        <w:jc w:val="both"/>
        <w:rPr>
          <w:i/>
          <w:szCs w:val="28"/>
          <w:lang w:val="en-GB"/>
        </w:rPr>
      </w:pPr>
      <w:r w:rsidRPr="000C0357">
        <w:rPr>
          <w:i/>
          <w:szCs w:val="28"/>
          <w:lang w:val="en-GB"/>
        </w:rPr>
        <w:t>Căn cứ Luật Tổ chức chính quyền địa phương số 65/2025/QH15 ngày 19 tháng 02 năm 2025 của Quốc hội;</w:t>
      </w:r>
    </w:p>
    <w:p w:rsidR="00DC67D2" w:rsidRPr="000C0357" w:rsidRDefault="00DC67D2" w:rsidP="00DC67D2">
      <w:pPr>
        <w:spacing w:before="60" w:after="60" w:line="400" w:lineRule="exact"/>
        <w:ind w:firstLine="720"/>
        <w:jc w:val="both"/>
        <w:rPr>
          <w:bCs/>
          <w:i/>
          <w:szCs w:val="28"/>
          <w:lang w:val="pt-BR"/>
        </w:rPr>
      </w:pPr>
      <w:r w:rsidRPr="000C0357">
        <w:rPr>
          <w:bCs/>
          <w:i/>
          <w:szCs w:val="28"/>
          <w:lang w:val="pt-BR"/>
        </w:rPr>
        <w:t>Căn cứ Luật Đầu tư công số 58/2024/QH15 ngày 29/11/2024 và các văn bản hướng dẫn thi hành;</w:t>
      </w:r>
    </w:p>
    <w:p w:rsidR="00DC67D2" w:rsidRPr="000C0357" w:rsidRDefault="00DC67D2" w:rsidP="00DC67D2">
      <w:pPr>
        <w:spacing w:before="60" w:after="60" w:line="400" w:lineRule="exact"/>
        <w:ind w:firstLine="720"/>
        <w:jc w:val="both"/>
        <w:rPr>
          <w:bCs/>
          <w:i/>
          <w:szCs w:val="28"/>
          <w:lang w:val="pt-BR"/>
        </w:rPr>
      </w:pPr>
      <w:r w:rsidRPr="000C0357">
        <w:rPr>
          <w:bCs/>
          <w:i/>
          <w:szCs w:val="28"/>
          <w:lang w:val="pt-BR"/>
        </w:rPr>
        <w:t xml:space="preserve">Căn cứ Luật Ngân sách nhà nước số 83/2015/QH13 ngày 25/6/2015,                Luật </w:t>
      </w:r>
      <w:bookmarkStart w:id="1" w:name="loai_1_name"/>
      <w:r w:rsidRPr="000C0357">
        <w:rPr>
          <w:i/>
          <w:szCs w:val="28"/>
          <w:lang w:val="en-GB"/>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bookmarkEnd w:id="1"/>
      <w:r w:rsidRPr="000C0357">
        <w:rPr>
          <w:bCs/>
          <w:i/>
          <w:szCs w:val="28"/>
          <w:lang w:val="pt-BR"/>
        </w:rPr>
        <w:t xml:space="preserve"> 56/2024/QH15 và các văn bản hướng dẫn thi hành;</w:t>
      </w:r>
    </w:p>
    <w:p w:rsidR="00DC67D2" w:rsidRPr="000C0357" w:rsidRDefault="00DC67D2" w:rsidP="00DC67D2">
      <w:pPr>
        <w:overflowPunct w:val="0"/>
        <w:autoSpaceDE w:val="0"/>
        <w:autoSpaceDN w:val="0"/>
        <w:adjustRightInd w:val="0"/>
        <w:spacing w:before="60" w:after="60" w:line="400" w:lineRule="exact"/>
        <w:ind w:firstLine="720"/>
        <w:jc w:val="both"/>
        <w:textAlignment w:val="baseline"/>
        <w:rPr>
          <w:i/>
          <w:iCs/>
          <w:szCs w:val="28"/>
          <w:lang w:val="en-GB"/>
        </w:rPr>
      </w:pPr>
      <w:r w:rsidRPr="000C0357">
        <w:rPr>
          <w:bCs/>
          <w:i/>
          <w:iCs/>
          <w:szCs w:val="26"/>
          <w:lang w:val="en-GB"/>
        </w:rPr>
        <w:t xml:space="preserve">Căn cứ </w:t>
      </w:r>
      <w:r w:rsidRPr="000C0357">
        <w:rPr>
          <w:i/>
          <w:iCs/>
          <w:szCs w:val="28"/>
          <w:lang w:val="en-GB"/>
        </w:rPr>
        <w:t xml:space="preserve">Nghị quyết số 47/NQ-HĐND ngày 12/12/2024 của HĐND tỉnh về phân bổ dự toán ngân sách cấp tỉnh năm 2025; </w:t>
      </w:r>
      <w:r w:rsidRPr="000C0357">
        <w:rPr>
          <w:i/>
          <w:color w:val="000000"/>
          <w:lang w:val="en-GB"/>
        </w:rPr>
        <w:t xml:space="preserve">Nghị quyết số 02/NQ-HĐND ngày 19/02/2025 </w:t>
      </w:r>
      <w:r w:rsidRPr="000C0357">
        <w:rPr>
          <w:i/>
          <w:iCs/>
          <w:szCs w:val="28"/>
          <w:lang w:val="en-GB"/>
        </w:rPr>
        <w:t xml:space="preserve">của HĐND tỉnh </w:t>
      </w:r>
      <w:r w:rsidRPr="000C0357">
        <w:rPr>
          <w:i/>
          <w:color w:val="000000"/>
          <w:lang w:val="en-GB"/>
        </w:rPr>
        <w:t xml:space="preserve">về việc phân bổ kế hoạch vốn đầu tư công năm 2025 (đợt 2); Nghị quyết số 07/NQ-HĐND ngày 26/02/2025 </w:t>
      </w:r>
      <w:r w:rsidRPr="000C0357">
        <w:rPr>
          <w:i/>
          <w:iCs/>
          <w:szCs w:val="28"/>
          <w:lang w:val="en-GB"/>
        </w:rPr>
        <w:t xml:space="preserve">của HĐND tỉnh </w:t>
      </w:r>
      <w:r w:rsidRPr="000C0357">
        <w:rPr>
          <w:i/>
          <w:color w:val="000000"/>
          <w:lang w:val="en-GB"/>
        </w:rPr>
        <w:t xml:space="preserve">về việc phân bổ kế hoạch vốn đầu tư công năm 2025 (đợt 3); </w:t>
      </w:r>
      <w:r w:rsidRPr="000C0357">
        <w:rPr>
          <w:i/>
          <w:iCs/>
          <w:szCs w:val="28"/>
          <w:lang w:val="en-GB"/>
        </w:rPr>
        <w:t>Nghị quyết số 09/NQ-HĐND ngày 09/4/2025 về việc phân bổ kế hoạch vốn đầu tư công năm 2025 (đợt 4);</w:t>
      </w:r>
    </w:p>
    <w:p w:rsidR="00DC67D2" w:rsidRPr="000C0357" w:rsidRDefault="00DC67D2" w:rsidP="00DC67D2">
      <w:pPr>
        <w:overflowPunct w:val="0"/>
        <w:autoSpaceDE w:val="0"/>
        <w:autoSpaceDN w:val="0"/>
        <w:adjustRightInd w:val="0"/>
        <w:spacing w:before="60" w:after="60" w:line="400" w:lineRule="exact"/>
        <w:ind w:firstLine="720"/>
        <w:jc w:val="both"/>
        <w:textAlignment w:val="baseline"/>
        <w:rPr>
          <w:i/>
          <w:iCs/>
          <w:szCs w:val="28"/>
          <w:lang w:val="en-GB"/>
        </w:rPr>
      </w:pPr>
      <w:r w:rsidRPr="000C0357">
        <w:rPr>
          <w:i/>
          <w:iCs/>
          <w:szCs w:val="28"/>
          <w:lang w:val="en-GB"/>
        </w:rPr>
        <w:t>Căn cứ Nghị quyết số 22/NQ-HĐND ngày 28/4/2025 về việc phân bổ kế hoạch vốn đầu tư công năm 2025 (đợt 5);</w:t>
      </w:r>
    </w:p>
    <w:p w:rsidR="00DC67D2" w:rsidRPr="000C0357" w:rsidRDefault="00DC67D2" w:rsidP="00DC67D2">
      <w:pPr>
        <w:spacing w:before="60" w:after="60" w:line="400" w:lineRule="exact"/>
        <w:ind w:firstLine="720"/>
        <w:jc w:val="both"/>
        <w:rPr>
          <w:bCs/>
          <w:i/>
          <w:szCs w:val="28"/>
          <w:lang w:val="en-GB"/>
        </w:rPr>
      </w:pPr>
      <w:r w:rsidRPr="000C0357">
        <w:rPr>
          <w:bCs/>
          <w:i/>
          <w:szCs w:val="28"/>
          <w:lang w:val="en-GB"/>
        </w:rPr>
        <w:t xml:space="preserve">Theo đề nghị </w:t>
      </w:r>
      <w:r w:rsidRPr="000C0357">
        <w:rPr>
          <w:bCs/>
          <w:i/>
          <w:szCs w:val="28"/>
          <w:lang w:val="vi-VN"/>
        </w:rPr>
        <w:t xml:space="preserve">của Sở </w:t>
      </w:r>
      <w:r w:rsidRPr="000C0357">
        <w:rPr>
          <w:bCs/>
          <w:i/>
          <w:szCs w:val="28"/>
        </w:rPr>
        <w:t>Tài chính</w:t>
      </w:r>
      <w:r w:rsidRPr="000C0357">
        <w:rPr>
          <w:bCs/>
          <w:i/>
          <w:szCs w:val="28"/>
          <w:lang w:val="en-GB"/>
        </w:rPr>
        <w:t xml:space="preserve"> tại </w:t>
      </w:r>
      <w:r w:rsidRPr="000C0357">
        <w:rPr>
          <w:bCs/>
          <w:i/>
          <w:iCs/>
          <w:szCs w:val="28"/>
          <w:lang w:val="pt-BR"/>
        </w:rPr>
        <w:t>Tờ trình số 193/TTr-STC ngày 25/4/2025</w:t>
      </w:r>
      <w:r w:rsidRPr="000C0357">
        <w:rPr>
          <w:b/>
          <w:bCs/>
          <w:i/>
          <w:iCs/>
          <w:szCs w:val="28"/>
          <w:lang w:val="pt-BR"/>
        </w:rPr>
        <w:t xml:space="preserve"> </w:t>
      </w:r>
      <w:r w:rsidRPr="000C0357">
        <w:rPr>
          <w:bCs/>
          <w:i/>
          <w:iCs/>
          <w:szCs w:val="28"/>
          <w:lang w:val="pt-BR"/>
        </w:rPr>
        <w:t>và</w:t>
      </w:r>
      <w:r w:rsidRPr="000C0357">
        <w:rPr>
          <w:b/>
          <w:bCs/>
          <w:i/>
          <w:iCs/>
          <w:szCs w:val="28"/>
          <w:lang w:val="pt-BR"/>
        </w:rPr>
        <w:t xml:space="preserve"> </w:t>
      </w:r>
      <w:r w:rsidRPr="000C0357">
        <w:rPr>
          <w:bCs/>
          <w:i/>
          <w:szCs w:val="28"/>
          <w:lang w:val="en-GB"/>
        </w:rPr>
        <w:t xml:space="preserve">Văn bản </w:t>
      </w:r>
      <w:r w:rsidRPr="000C0357">
        <w:rPr>
          <w:bCs/>
          <w:i/>
          <w:szCs w:val="28"/>
          <w:lang w:val="vi-VN"/>
        </w:rPr>
        <w:t>số</w:t>
      </w:r>
      <w:r w:rsidRPr="000C0357">
        <w:rPr>
          <w:bCs/>
          <w:i/>
          <w:szCs w:val="28"/>
          <w:lang w:val="en-GB"/>
        </w:rPr>
        <w:t xml:space="preserve"> 1641</w:t>
      </w:r>
      <w:r w:rsidRPr="000C0357">
        <w:rPr>
          <w:bCs/>
          <w:i/>
          <w:szCs w:val="28"/>
          <w:lang w:val="vi-VN"/>
        </w:rPr>
        <w:t>/S</w:t>
      </w:r>
      <w:r w:rsidRPr="000C0357">
        <w:rPr>
          <w:bCs/>
          <w:i/>
          <w:szCs w:val="28"/>
        </w:rPr>
        <w:t>TC</w:t>
      </w:r>
      <w:r w:rsidRPr="000C0357">
        <w:rPr>
          <w:bCs/>
          <w:i/>
          <w:szCs w:val="28"/>
          <w:lang w:val="en-GB"/>
        </w:rPr>
        <w:t>-THQH</w:t>
      </w:r>
      <w:r w:rsidRPr="000C0357">
        <w:rPr>
          <w:bCs/>
          <w:i/>
          <w:szCs w:val="28"/>
          <w:lang w:val="vi-VN"/>
        </w:rPr>
        <w:t xml:space="preserve"> ngày</w:t>
      </w:r>
      <w:r w:rsidRPr="000C0357">
        <w:rPr>
          <w:bCs/>
          <w:i/>
          <w:szCs w:val="28"/>
          <w:lang w:val="en-GB"/>
        </w:rPr>
        <w:t xml:space="preserve"> 07 </w:t>
      </w:r>
      <w:r w:rsidRPr="000C0357">
        <w:rPr>
          <w:bCs/>
          <w:i/>
          <w:szCs w:val="28"/>
          <w:lang w:val="vi-VN"/>
        </w:rPr>
        <w:t xml:space="preserve">tháng </w:t>
      </w:r>
      <w:r w:rsidRPr="000C0357">
        <w:rPr>
          <w:bCs/>
          <w:i/>
          <w:szCs w:val="28"/>
          <w:lang w:val="en-GB"/>
        </w:rPr>
        <w:t xml:space="preserve">5 </w:t>
      </w:r>
      <w:r w:rsidRPr="000C0357">
        <w:rPr>
          <w:bCs/>
          <w:i/>
          <w:szCs w:val="28"/>
          <w:lang w:val="vi-VN"/>
        </w:rPr>
        <w:t>năm 20</w:t>
      </w:r>
      <w:r w:rsidRPr="000C0357">
        <w:rPr>
          <w:bCs/>
          <w:i/>
          <w:szCs w:val="28"/>
          <w:lang w:val="en-GB"/>
        </w:rPr>
        <w:t>25.</w:t>
      </w:r>
    </w:p>
    <w:p w:rsidR="00DC67D2" w:rsidRPr="000C0357" w:rsidRDefault="00DC67D2" w:rsidP="00DC67D2">
      <w:pPr>
        <w:spacing w:before="60" w:after="60" w:line="400" w:lineRule="exact"/>
        <w:jc w:val="center"/>
        <w:rPr>
          <w:b/>
          <w:szCs w:val="28"/>
          <w:lang w:val="en-GB"/>
        </w:rPr>
      </w:pPr>
    </w:p>
    <w:p w:rsidR="00DC67D2" w:rsidRPr="000C0357" w:rsidRDefault="00DC67D2" w:rsidP="00DC67D2">
      <w:pPr>
        <w:spacing w:before="60" w:after="60" w:line="400" w:lineRule="exact"/>
        <w:jc w:val="center"/>
        <w:rPr>
          <w:b/>
          <w:szCs w:val="28"/>
          <w:lang w:val="en-GB"/>
        </w:rPr>
      </w:pPr>
      <w:r w:rsidRPr="000C0357">
        <w:rPr>
          <w:b/>
          <w:szCs w:val="28"/>
          <w:lang w:val="en-GB"/>
        </w:rPr>
        <w:t>QUYẾT ĐỊNH:</w:t>
      </w:r>
    </w:p>
    <w:p w:rsidR="00DC67D2" w:rsidRPr="000C0357" w:rsidRDefault="00DC67D2" w:rsidP="00DC67D2">
      <w:pPr>
        <w:spacing w:before="60" w:after="60" w:line="400" w:lineRule="exact"/>
        <w:jc w:val="center"/>
        <w:rPr>
          <w:b/>
          <w:szCs w:val="28"/>
          <w:lang w:val="en-GB"/>
        </w:rPr>
      </w:pPr>
    </w:p>
    <w:p w:rsidR="00DC67D2" w:rsidRPr="000C0357" w:rsidRDefault="00DC67D2" w:rsidP="00DC67D2">
      <w:pPr>
        <w:overflowPunct w:val="0"/>
        <w:autoSpaceDE w:val="0"/>
        <w:autoSpaceDN w:val="0"/>
        <w:adjustRightInd w:val="0"/>
        <w:spacing w:before="60" w:after="60" w:line="400" w:lineRule="exact"/>
        <w:ind w:firstLine="720"/>
        <w:textAlignment w:val="baseline"/>
        <w:rPr>
          <w:iCs/>
          <w:lang w:val="da-DK"/>
        </w:rPr>
      </w:pPr>
      <w:r w:rsidRPr="000C0357">
        <w:rPr>
          <w:b/>
          <w:lang w:val="af-ZA"/>
        </w:rPr>
        <w:lastRenderedPageBreak/>
        <w:t xml:space="preserve">Điều 1. </w:t>
      </w:r>
      <w:r w:rsidRPr="000C0357">
        <w:rPr>
          <w:lang w:val="pt-BR"/>
        </w:rPr>
        <w:t>Điều chỉnh kế hoạch đầu tư công năm 2025, cụ thể:</w:t>
      </w:r>
    </w:p>
    <w:p w:rsidR="00DC67D2" w:rsidRPr="000C0357" w:rsidRDefault="00DC67D2" w:rsidP="00DC67D2">
      <w:pPr>
        <w:widowControl w:val="0"/>
        <w:shd w:val="clear" w:color="auto" w:fill="FFFFFF"/>
        <w:tabs>
          <w:tab w:val="center" w:pos="4535"/>
          <w:tab w:val="left" w:pos="5878"/>
          <w:tab w:val="left" w:pos="6073"/>
          <w:tab w:val="left" w:pos="7048"/>
        </w:tabs>
        <w:spacing w:before="60" w:after="60" w:line="400" w:lineRule="exact"/>
        <w:ind w:firstLine="720"/>
        <w:jc w:val="both"/>
        <w:rPr>
          <w:bCs/>
          <w:lang w:val="pt-BR"/>
        </w:rPr>
      </w:pPr>
      <w:r w:rsidRPr="000C0357">
        <w:rPr>
          <w:lang w:val="pt-BR"/>
        </w:rPr>
        <w:t>1.</w:t>
      </w:r>
      <w:r w:rsidRPr="000C0357">
        <w:rPr>
          <w:bCs/>
          <w:lang w:val="pt-BR"/>
        </w:rPr>
        <w:t xml:space="preserve"> Thu hồi về ngân sách tỉnh: Tổng số 85,296 tỷ đồng từ nguồn xây dựng cơ bản tập trung vốn trong nước Nguồn vốn đối ứng đã cấp cho dự án Chương trình phát triển các đô thị loại II (các đô thị xanh) - Dự án thành phần tỉnh Vĩnh Phúc, vốn vay ADB;</w:t>
      </w:r>
    </w:p>
    <w:p w:rsidR="00DC67D2" w:rsidRPr="000C0357" w:rsidRDefault="00DC67D2" w:rsidP="00DC67D2">
      <w:pPr>
        <w:widowControl w:val="0"/>
        <w:shd w:val="clear" w:color="auto" w:fill="FFFFFF"/>
        <w:tabs>
          <w:tab w:val="center" w:pos="4535"/>
          <w:tab w:val="left" w:pos="5878"/>
          <w:tab w:val="left" w:pos="6073"/>
          <w:tab w:val="left" w:pos="7048"/>
        </w:tabs>
        <w:spacing w:before="60" w:after="60" w:line="400" w:lineRule="exact"/>
        <w:ind w:firstLine="720"/>
        <w:jc w:val="both"/>
        <w:rPr>
          <w:bCs/>
          <w:lang w:val="pt-BR"/>
        </w:rPr>
      </w:pPr>
      <w:r w:rsidRPr="000C0357">
        <w:rPr>
          <w:lang w:val="pt-BR"/>
        </w:rPr>
        <w:t>2.</w:t>
      </w:r>
      <w:r w:rsidRPr="000C0357">
        <w:rPr>
          <w:bCs/>
          <w:lang w:val="pt-BR"/>
        </w:rPr>
        <w:t xml:space="preserve"> Giao vốn đầu tư công năm 2025: Tổng số 85,296 tỷ đồng (đã thu hồi về ngân sách tỉnh tại khoản 1 nêu trên) cho 06 dự án quyết toán; 05 dự án chuyển tiếp và 02 dự án mới.</w:t>
      </w:r>
    </w:p>
    <w:p w:rsidR="00DC67D2" w:rsidRPr="000C0357" w:rsidRDefault="00DC67D2" w:rsidP="00DC67D2">
      <w:pPr>
        <w:widowControl w:val="0"/>
        <w:shd w:val="clear" w:color="auto" w:fill="FFFFFF"/>
        <w:tabs>
          <w:tab w:val="center" w:pos="4535"/>
          <w:tab w:val="left" w:pos="5878"/>
          <w:tab w:val="left" w:pos="6073"/>
          <w:tab w:val="left" w:pos="7048"/>
        </w:tabs>
        <w:spacing w:before="60" w:after="60" w:line="400" w:lineRule="exact"/>
        <w:ind w:firstLine="720"/>
        <w:jc w:val="center"/>
        <w:rPr>
          <w:bCs/>
          <w:i/>
          <w:lang w:val="pt-BR"/>
        </w:rPr>
      </w:pPr>
      <w:r w:rsidRPr="000C0357">
        <w:rPr>
          <w:bCs/>
          <w:i/>
          <w:lang w:val="pt-BR"/>
        </w:rPr>
        <w:t>(Chi tiết tại Phụ biểu kèm theo)</w:t>
      </w:r>
    </w:p>
    <w:p w:rsidR="00DC67D2" w:rsidRPr="000C0357" w:rsidRDefault="00DC67D2" w:rsidP="00DC67D2">
      <w:pPr>
        <w:widowControl w:val="0"/>
        <w:spacing w:before="60" w:after="60" w:line="400" w:lineRule="exact"/>
        <w:ind w:firstLine="709"/>
        <w:jc w:val="both"/>
        <w:rPr>
          <w:lang w:val="fr-FR"/>
        </w:rPr>
      </w:pPr>
      <w:r w:rsidRPr="000C0357">
        <w:rPr>
          <w:b/>
          <w:szCs w:val="28"/>
          <w:lang w:val="en-GB"/>
        </w:rPr>
        <w:t xml:space="preserve">Điều 2. </w:t>
      </w:r>
      <w:r w:rsidRPr="000C0357">
        <w:rPr>
          <w:lang w:val="fr-FR"/>
        </w:rPr>
        <w:t>Tổ chức thực hiện:</w:t>
      </w:r>
    </w:p>
    <w:p w:rsidR="00DC67D2" w:rsidRPr="000C0357" w:rsidRDefault="00DC67D2" w:rsidP="00DC67D2">
      <w:pPr>
        <w:spacing w:before="60" w:after="60" w:line="400" w:lineRule="exact"/>
        <w:ind w:firstLine="720"/>
        <w:jc w:val="both"/>
        <w:rPr>
          <w:szCs w:val="28"/>
          <w:lang w:val="en-GB"/>
        </w:rPr>
      </w:pPr>
      <w:r w:rsidRPr="000C0357">
        <w:rPr>
          <w:szCs w:val="28"/>
          <w:lang w:val="en-GB"/>
        </w:rPr>
        <w:t>1. Chủ đầu tư có trách nhiệm</w:t>
      </w:r>
      <w:r w:rsidRPr="000C0357">
        <w:rPr>
          <w:lang w:val="en-GB" w:eastAsia="vi-VN"/>
        </w:rPr>
        <w:t xml:space="preserve"> </w:t>
      </w:r>
      <w:r w:rsidRPr="000C0357">
        <w:rPr>
          <w:szCs w:val="28"/>
          <w:lang w:val="en-GB"/>
        </w:rPr>
        <w:t>căn cứ mức vốn được giao, tổ chức triển khai thực hiện và hoàn thiện thủ tục để giải ngân kế hoạch vốn theo quy định; thực hiện nghiêm các quy định liên quan; kiểm điểm, làm rõ trách nhiệm phải điều chuyển vốn (nếu có).</w:t>
      </w:r>
    </w:p>
    <w:p w:rsidR="00DC67D2" w:rsidRPr="000C0357" w:rsidRDefault="00DC67D2" w:rsidP="00DC67D2">
      <w:pPr>
        <w:spacing w:before="60" w:after="60" w:line="400" w:lineRule="exact"/>
        <w:ind w:firstLine="720"/>
        <w:jc w:val="both"/>
        <w:rPr>
          <w:szCs w:val="28"/>
          <w:lang w:val="en-GB"/>
        </w:rPr>
      </w:pPr>
      <w:r w:rsidRPr="000C0357">
        <w:rPr>
          <w:szCs w:val="28"/>
          <w:lang w:val="en-GB"/>
        </w:rPr>
        <w:t>2. Giao Sở Tài chính, Kho bạc nhà nước khu vực, Thanh tra tỉnh căn cứ chức năng, nhiệm vụ được giao chủ động</w:t>
      </w:r>
      <w:r w:rsidRPr="000C0357">
        <w:rPr>
          <w:szCs w:val="28"/>
          <w:lang w:val="vi-VN"/>
        </w:rPr>
        <w:t xml:space="preserve"> </w:t>
      </w:r>
      <w:r w:rsidRPr="000C0357">
        <w:rPr>
          <w:szCs w:val="28"/>
          <w:lang w:val="en-GB"/>
        </w:rPr>
        <w:t xml:space="preserve">hướng dẫn, đôn đốc Chủ đầu tư thực hiện các thủ tục giải ngân nguồn vốn được giao theo quy định hiện hành ngay sau khi Quyết định này có hiệu lực; </w:t>
      </w:r>
      <w:r w:rsidRPr="000C0357">
        <w:rPr>
          <w:lang w:val="en-GB"/>
        </w:rPr>
        <w:t>đồng thời căn cứ chức năng, nhiệm vụ được giao chủ động đôn đốc, thanh tra, kiểm tra, giám sát việc thực hiện, xử lý nghiêm các vi phạm liên quan, kịp thời tham mưu, đề xuất UBND tỉnh theo quy định.</w:t>
      </w:r>
    </w:p>
    <w:p w:rsidR="00DC67D2" w:rsidRPr="000C0357" w:rsidRDefault="00DC67D2" w:rsidP="00DC67D2">
      <w:pPr>
        <w:overflowPunct w:val="0"/>
        <w:autoSpaceDE w:val="0"/>
        <w:autoSpaceDN w:val="0"/>
        <w:adjustRightInd w:val="0"/>
        <w:spacing w:before="60" w:after="60" w:line="400" w:lineRule="exact"/>
        <w:ind w:firstLine="720"/>
        <w:jc w:val="both"/>
        <w:textAlignment w:val="baseline"/>
        <w:rPr>
          <w:b/>
          <w:szCs w:val="28"/>
          <w:lang w:val="en-GB"/>
        </w:rPr>
      </w:pPr>
      <w:r w:rsidRPr="000C0357">
        <w:rPr>
          <w:b/>
          <w:bCs/>
          <w:szCs w:val="28"/>
        </w:rPr>
        <w:t>Điều 3.</w:t>
      </w:r>
      <w:r w:rsidRPr="000C0357">
        <w:rPr>
          <w:szCs w:val="28"/>
        </w:rPr>
        <w:t xml:space="preserve"> </w:t>
      </w:r>
      <w:r w:rsidRPr="000C0357">
        <w:rPr>
          <w:szCs w:val="28"/>
          <w:lang w:val="vi-VN"/>
        </w:rPr>
        <w:t>Quyết định này có hiệu lực kể từ ngày</w:t>
      </w:r>
      <w:r w:rsidRPr="000C0357">
        <w:rPr>
          <w:szCs w:val="28"/>
          <w:lang w:val="en-GB"/>
        </w:rPr>
        <w:t xml:space="preserve"> ký. </w:t>
      </w:r>
    </w:p>
    <w:p w:rsidR="00DC67D2" w:rsidRPr="000C0357" w:rsidRDefault="00DC67D2" w:rsidP="00DC67D2">
      <w:pPr>
        <w:widowControl w:val="0"/>
        <w:spacing w:before="60" w:after="60" w:line="400" w:lineRule="exact"/>
        <w:ind w:firstLine="720"/>
        <w:jc w:val="both"/>
        <w:rPr>
          <w:szCs w:val="28"/>
          <w:lang w:val="vi-VN"/>
        </w:rPr>
      </w:pPr>
      <w:r w:rsidRPr="000C0357">
        <w:rPr>
          <w:szCs w:val="28"/>
          <w:lang w:val="vi-VN"/>
        </w:rPr>
        <w:t xml:space="preserve">Chánh Văn phòng UBND tỉnh; Thủ trưởng các </w:t>
      </w:r>
      <w:r w:rsidRPr="000C0357">
        <w:rPr>
          <w:szCs w:val="28"/>
          <w:lang w:val="en-GB"/>
        </w:rPr>
        <w:t>S</w:t>
      </w:r>
      <w:r w:rsidRPr="000C0357">
        <w:rPr>
          <w:szCs w:val="28"/>
          <w:lang w:val="vi-VN"/>
        </w:rPr>
        <w:t xml:space="preserve">ở, ngành: Tài chính, </w:t>
      </w:r>
      <w:r w:rsidRPr="000C0357">
        <w:rPr>
          <w:szCs w:val="28"/>
        </w:rPr>
        <w:t xml:space="preserve">              </w:t>
      </w:r>
      <w:r w:rsidRPr="000C0357">
        <w:rPr>
          <w:szCs w:val="28"/>
          <w:lang w:val="vi-VN"/>
        </w:rPr>
        <w:t xml:space="preserve">Kho Bạc nhà nước </w:t>
      </w:r>
      <w:r w:rsidRPr="000C0357">
        <w:rPr>
          <w:szCs w:val="28"/>
        </w:rPr>
        <w:t>khu vực Khu vực VIII (theo dõi tỉnh Vĩnh Phúc);</w:t>
      </w:r>
      <w:r w:rsidRPr="000C0357">
        <w:rPr>
          <w:szCs w:val="28"/>
          <w:lang w:val="vi-VN"/>
        </w:rPr>
        <w:t xml:space="preserve"> </w:t>
      </w:r>
      <w:r w:rsidRPr="000C0357">
        <w:rPr>
          <w:szCs w:val="28"/>
        </w:rPr>
        <w:t>Chủ tịch UBND các huyện, thành phố;</w:t>
      </w:r>
      <w:r w:rsidRPr="000C0357">
        <w:rPr>
          <w:szCs w:val="28"/>
          <w:lang w:val="vi-VN"/>
        </w:rPr>
        <w:t xml:space="preserve"> </w:t>
      </w:r>
      <w:r w:rsidRPr="000C0357">
        <w:rPr>
          <w:szCs w:val="28"/>
        </w:rPr>
        <w:t>T</w:t>
      </w:r>
      <w:r w:rsidRPr="000C0357">
        <w:rPr>
          <w:szCs w:val="28"/>
          <w:lang w:val="vi-VN"/>
        </w:rPr>
        <w:t xml:space="preserve">rưởng các </w:t>
      </w:r>
      <w:r w:rsidRPr="000C0357">
        <w:rPr>
          <w:szCs w:val="28"/>
        </w:rPr>
        <w:t>Ban Quản lý dự án</w:t>
      </w:r>
      <w:r w:rsidRPr="000C0357">
        <w:rPr>
          <w:szCs w:val="28"/>
          <w:lang w:val="vi-VN"/>
        </w:rPr>
        <w:t xml:space="preserve">, </w:t>
      </w:r>
      <w:r w:rsidRPr="000C0357">
        <w:rPr>
          <w:szCs w:val="28"/>
        </w:rPr>
        <w:t>chủ đầu tư</w:t>
      </w:r>
      <w:r w:rsidRPr="000C0357">
        <w:rPr>
          <w:szCs w:val="28"/>
          <w:lang w:val="vi-VN"/>
        </w:rPr>
        <w:t xml:space="preserve"> và các </w:t>
      </w:r>
      <w:r w:rsidRPr="000C0357">
        <w:rPr>
          <w:szCs w:val="28"/>
        </w:rPr>
        <w:t>tổ chức, cá nhân</w:t>
      </w:r>
      <w:r w:rsidRPr="000C0357">
        <w:rPr>
          <w:szCs w:val="28"/>
          <w:lang w:val="vi-VN"/>
        </w:rPr>
        <w:t xml:space="preserve"> có liên quan căn cứ </w:t>
      </w:r>
      <w:r w:rsidRPr="000C0357">
        <w:rPr>
          <w:szCs w:val="28"/>
          <w:lang w:val="en-GB"/>
        </w:rPr>
        <w:t>Q</w:t>
      </w:r>
      <w:r w:rsidRPr="000C0357">
        <w:rPr>
          <w:szCs w:val="28"/>
          <w:lang w:val="vi-VN"/>
        </w:rPr>
        <w:t>uyết định thi hành./.</w:t>
      </w:r>
    </w:p>
    <w:p w:rsidR="00DC67D2" w:rsidRPr="000C0357" w:rsidRDefault="00DC67D2" w:rsidP="00DC67D2">
      <w:pPr>
        <w:widowControl w:val="0"/>
        <w:spacing w:before="60" w:after="60"/>
        <w:jc w:val="both"/>
        <w:rPr>
          <w:szCs w:val="28"/>
          <w:lang w:val="vi-VN"/>
        </w:rPr>
      </w:pPr>
    </w:p>
    <w:p w:rsidR="00DC67D2" w:rsidRPr="000C0357" w:rsidRDefault="00DC67D2" w:rsidP="00DC67D2">
      <w:pPr>
        <w:ind w:left="5534" w:hanging="2654"/>
        <w:jc w:val="center"/>
        <w:rPr>
          <w:b/>
          <w:i/>
          <w:color w:val="000000"/>
          <w:szCs w:val="28"/>
          <w:lang w:val="en-GB"/>
        </w:rPr>
      </w:pPr>
      <w:r w:rsidRPr="000C0357">
        <w:rPr>
          <w:b/>
          <w:color w:val="000000"/>
          <w:szCs w:val="28"/>
          <w:lang w:val="en-GB"/>
        </w:rPr>
        <w:t>TM. ỦY BAN NHÂN DÂN</w:t>
      </w:r>
    </w:p>
    <w:p w:rsidR="00DC67D2" w:rsidRPr="000C0357" w:rsidRDefault="00DC67D2" w:rsidP="00DC67D2">
      <w:pPr>
        <w:ind w:left="5534" w:hanging="2654"/>
        <w:jc w:val="center"/>
        <w:rPr>
          <w:b/>
          <w:color w:val="000000"/>
          <w:szCs w:val="28"/>
          <w:lang w:val="en-GB"/>
        </w:rPr>
      </w:pPr>
      <w:r w:rsidRPr="000C0357">
        <w:rPr>
          <w:b/>
          <w:color w:val="000000"/>
          <w:szCs w:val="28"/>
          <w:lang w:val="en-GB"/>
        </w:rPr>
        <w:t>CHỦ TỊCH</w:t>
      </w:r>
    </w:p>
    <w:p w:rsidR="00DC67D2" w:rsidRPr="000C0357" w:rsidRDefault="00DC67D2" w:rsidP="00DC67D2">
      <w:pPr>
        <w:ind w:left="5534" w:hanging="2654"/>
        <w:jc w:val="center"/>
        <w:rPr>
          <w:b/>
          <w:color w:val="000000"/>
          <w:szCs w:val="28"/>
          <w:lang w:val="en-GB"/>
        </w:rPr>
      </w:pPr>
    </w:p>
    <w:p w:rsidR="00DC67D2" w:rsidRPr="000C0357" w:rsidRDefault="00DC67D2" w:rsidP="00DC67D2">
      <w:pPr>
        <w:widowControl w:val="0"/>
        <w:spacing w:before="60" w:after="60"/>
        <w:ind w:left="2880"/>
        <w:jc w:val="center"/>
        <w:rPr>
          <w:szCs w:val="28"/>
          <w:lang w:val="en-GB"/>
        </w:rPr>
      </w:pPr>
      <w:r w:rsidRPr="000C0357">
        <w:rPr>
          <w:b/>
          <w:bCs/>
          <w:iCs/>
          <w:color w:val="000000"/>
          <w:lang w:val="en-GB"/>
        </w:rPr>
        <w:t>Trần Duy Đông</w:t>
      </w:r>
    </w:p>
    <w:p w:rsidR="00C63CA0" w:rsidRDefault="00C63CA0"/>
    <w:sectPr w:rsidR="00C6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D2"/>
    <w:rsid w:val="00C63CA0"/>
    <w:rsid w:val="00DC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4325-1D09-4F10-9A93-213B852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7D2"/>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2025-05-12T07:42:00Z</dcterms:created>
  <dcterms:modified xsi:type="dcterms:W3CDTF">2025-05-12T07:44:00Z</dcterms:modified>
</cp:coreProperties>
</file>