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Ind w:w="108" w:type="dxa"/>
        <w:tblLayout w:type="fixed"/>
        <w:tblLook w:val="0000" w:firstRow="0" w:lastRow="0" w:firstColumn="0" w:lastColumn="0" w:noHBand="0" w:noVBand="0"/>
      </w:tblPr>
      <w:tblGrid>
        <w:gridCol w:w="2977"/>
        <w:gridCol w:w="6379"/>
      </w:tblGrid>
      <w:tr w:rsidR="00F47C5B" w:rsidRPr="005C0803" w14:paraId="213242A8" w14:textId="77777777" w:rsidTr="000027AC">
        <w:trPr>
          <w:cantSplit/>
          <w:trHeight w:hRule="exact" w:val="760"/>
        </w:trPr>
        <w:tc>
          <w:tcPr>
            <w:tcW w:w="2977" w:type="dxa"/>
            <w:tcBorders>
              <w:top w:val="nil"/>
              <w:left w:val="nil"/>
              <w:bottom w:val="nil"/>
              <w:right w:val="nil"/>
            </w:tcBorders>
          </w:tcPr>
          <w:p w14:paraId="1E790784" w14:textId="77777777" w:rsidR="00F47C5B" w:rsidRPr="005C0803" w:rsidRDefault="00F47C5B" w:rsidP="000027AC">
            <w:pPr>
              <w:contextualSpacing/>
              <w:jc w:val="center"/>
              <w:rPr>
                <w:b/>
                <w:sz w:val="26"/>
                <w:szCs w:val="26"/>
              </w:rPr>
            </w:pPr>
            <w:r w:rsidRPr="005C0803">
              <w:rPr>
                <w:b/>
                <w:sz w:val="26"/>
                <w:szCs w:val="26"/>
              </w:rPr>
              <w:t>UỶ BAN N</w:t>
            </w:r>
            <w:bookmarkStart w:id="0" w:name="_GoBack"/>
            <w:bookmarkEnd w:id="0"/>
            <w:r w:rsidRPr="005C0803">
              <w:rPr>
                <w:b/>
                <w:sz w:val="26"/>
                <w:szCs w:val="26"/>
              </w:rPr>
              <w:t xml:space="preserve">HÂN DÂN </w:t>
            </w:r>
          </w:p>
          <w:p w14:paraId="2422035C" w14:textId="77777777" w:rsidR="00F47C5B" w:rsidRPr="005C0803" w:rsidRDefault="00F47C5B" w:rsidP="000027AC">
            <w:pPr>
              <w:contextualSpacing/>
              <w:jc w:val="center"/>
              <w:rPr>
                <w:b/>
                <w:sz w:val="26"/>
                <w:szCs w:val="26"/>
              </w:rPr>
            </w:pPr>
            <w:r w:rsidRPr="005C0803">
              <w:rPr>
                <w:b/>
                <w:sz w:val="26"/>
                <w:szCs w:val="26"/>
              </w:rPr>
              <w:t>TỈNH VĨNH PHÚC</w:t>
            </w:r>
          </w:p>
          <w:p w14:paraId="47E7A0EF" w14:textId="77777777" w:rsidR="00F47C5B" w:rsidRPr="005C0803" w:rsidRDefault="00F47C5B" w:rsidP="000027AC">
            <w:pPr>
              <w:ind w:left="162" w:hanging="162"/>
              <w:contextualSpacing/>
              <w:jc w:val="center"/>
              <w:rPr>
                <w:b/>
                <w:bCs/>
                <w:sz w:val="26"/>
                <w:szCs w:val="26"/>
              </w:rPr>
            </w:pPr>
            <w:r w:rsidRPr="005C0803">
              <w:rPr>
                <w:noProof/>
              </w:rPr>
              <mc:AlternateContent>
                <mc:Choice Requires="wps">
                  <w:drawing>
                    <wp:anchor distT="0" distB="0" distL="114300" distR="114300" simplePos="0" relativeHeight="251659264" behindDoc="0" locked="0" layoutInCell="1" allowOverlap="1" wp14:anchorId="699D6F7D" wp14:editId="57CAFC41">
                      <wp:simplePos x="0" y="0"/>
                      <wp:positionH relativeFrom="column">
                        <wp:posOffset>367665</wp:posOffset>
                      </wp:positionH>
                      <wp:positionV relativeFrom="paragraph">
                        <wp:posOffset>24130</wp:posOffset>
                      </wp:positionV>
                      <wp:extent cx="988695" cy="0"/>
                      <wp:effectExtent l="11430" t="6350" r="9525" b="1270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886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36E48438" id="Straight Connector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95pt,1.9pt" to="106.8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"/>
                  </w:pict>
                </mc:Fallback>
              </mc:AlternateContent>
            </w:r>
          </w:p>
          <w:p w14:paraId="1C15D9BA" w14:textId="77777777" w:rsidR="00F47C5B" w:rsidRPr="005C0803" w:rsidRDefault="00F47C5B" w:rsidP="000027AC">
            <w:pPr>
              <w:contextualSpacing/>
              <w:rPr>
                <w:b/>
                <w:bCs/>
                <w:sz w:val="20"/>
              </w:rPr>
            </w:pPr>
          </w:p>
        </w:tc>
        <w:tc>
          <w:tcPr>
            <w:tcW w:w="6379" w:type="dxa"/>
            <w:tcBorders>
              <w:top w:val="nil"/>
              <w:left w:val="nil"/>
              <w:bottom w:val="nil"/>
              <w:right w:val="nil"/>
            </w:tcBorders>
          </w:tcPr>
          <w:p w14:paraId="0D4E7370" w14:textId="77777777" w:rsidR="00F47C5B" w:rsidRPr="005C0803" w:rsidRDefault="00F47C5B" w:rsidP="000027AC">
            <w:pPr>
              <w:ind w:right="191"/>
              <w:contextualSpacing/>
              <w:jc w:val="center"/>
              <w:rPr>
                <w:b/>
                <w:bCs/>
                <w:sz w:val="26"/>
                <w:szCs w:val="26"/>
              </w:rPr>
            </w:pPr>
            <w:r w:rsidRPr="005C0803">
              <w:rPr>
                <w:b/>
                <w:bCs/>
                <w:sz w:val="26"/>
                <w:szCs w:val="26"/>
              </w:rPr>
              <w:t>CỘNG HOÀ XÃ HỘI CHỦ NGHĨA VIỆT NAM</w:t>
            </w:r>
          </w:p>
          <w:p w14:paraId="15AF5260" w14:textId="77777777" w:rsidR="00F47C5B" w:rsidRPr="005C0803" w:rsidRDefault="00F47C5B" w:rsidP="000027AC">
            <w:pPr>
              <w:ind w:right="191"/>
              <w:contextualSpacing/>
              <w:jc w:val="center"/>
              <w:rPr>
                <w:b/>
                <w:bCs/>
              </w:rPr>
            </w:pPr>
            <w:r w:rsidRPr="005C0803">
              <w:rPr>
                <w:b/>
                <w:bCs/>
              </w:rPr>
              <w:t>Độc lập - Tự do - Hạnh phúc</w:t>
            </w:r>
          </w:p>
          <w:p w14:paraId="01F7F9AE" w14:textId="77777777" w:rsidR="00F47C5B" w:rsidRPr="005C0803" w:rsidRDefault="00F47C5B" w:rsidP="000027AC">
            <w:pPr>
              <w:ind w:right="191"/>
              <w:contextualSpacing/>
              <w:jc w:val="center"/>
              <w:rPr>
                <w:b/>
                <w:bCs/>
                <w:sz w:val="26"/>
                <w:szCs w:val="26"/>
              </w:rPr>
            </w:pPr>
            <w:r w:rsidRPr="005C0803">
              <w:rPr>
                <w:b/>
                <w:bCs/>
                <w:noProof/>
                <w:sz w:val="26"/>
                <w:szCs w:val="26"/>
              </w:rPr>
              <mc:AlternateContent>
                <mc:Choice Requires="wps">
                  <w:drawing>
                    <wp:anchor distT="0" distB="0" distL="114300" distR="114300" simplePos="0" relativeHeight="251660288" behindDoc="0" locked="0" layoutInCell="1" allowOverlap="1" wp14:anchorId="213C3C08" wp14:editId="1ED7C065">
                      <wp:simplePos x="0" y="0"/>
                      <wp:positionH relativeFrom="column">
                        <wp:posOffset>794385</wp:posOffset>
                      </wp:positionH>
                      <wp:positionV relativeFrom="paragraph">
                        <wp:posOffset>30480</wp:posOffset>
                      </wp:positionV>
                      <wp:extent cx="2176780" cy="0"/>
                      <wp:effectExtent l="13970" t="8255" r="9525" b="1079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67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2A19B5EF" id="Straight Connector 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55pt,2.4pt" to="233.9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"/>
                  </w:pict>
                </mc:Fallback>
              </mc:AlternateContent>
            </w:r>
          </w:p>
        </w:tc>
      </w:tr>
      <w:tr w:rsidR="00F47C5B" w:rsidRPr="005C0803" w14:paraId="63058131" w14:textId="77777777" w:rsidTr="000027AC">
        <w:trPr>
          <w:cantSplit/>
          <w:trHeight w:val="309"/>
        </w:trPr>
        <w:tc>
          <w:tcPr>
            <w:tcW w:w="2977" w:type="dxa"/>
            <w:tcBorders>
              <w:top w:val="nil"/>
              <w:left w:val="nil"/>
              <w:bottom w:val="nil"/>
              <w:right w:val="nil"/>
            </w:tcBorders>
          </w:tcPr>
          <w:p w14:paraId="2033F496" w14:textId="49A64656" w:rsidR="00F47C5B" w:rsidRPr="005C0803" w:rsidRDefault="00F47C5B" w:rsidP="002617F7">
            <w:pPr>
              <w:spacing w:before="240"/>
              <w:contextualSpacing/>
              <w:jc w:val="center"/>
            </w:pPr>
            <w:r w:rsidRPr="005C0803">
              <w:t xml:space="preserve">Số: </w:t>
            </w:r>
            <w:r w:rsidR="002617F7">
              <w:t>911</w:t>
            </w:r>
            <w:r w:rsidRPr="005C0803">
              <w:t>/QĐ-UBND</w:t>
            </w:r>
          </w:p>
        </w:tc>
        <w:tc>
          <w:tcPr>
            <w:tcW w:w="6379" w:type="dxa"/>
            <w:tcBorders>
              <w:top w:val="nil"/>
              <w:left w:val="nil"/>
              <w:bottom w:val="nil"/>
              <w:right w:val="nil"/>
            </w:tcBorders>
          </w:tcPr>
          <w:p w14:paraId="043AE8E6" w14:textId="7B0A324A" w:rsidR="00F47C5B" w:rsidRPr="005C0803" w:rsidRDefault="00F47C5B" w:rsidP="002617F7">
            <w:pPr>
              <w:spacing w:before="240"/>
              <w:ind w:right="191"/>
              <w:contextualSpacing/>
              <w:jc w:val="center"/>
              <w:rPr>
                <w:i/>
                <w:iCs/>
              </w:rPr>
            </w:pPr>
            <w:r w:rsidRPr="005C0803">
              <w:rPr>
                <w:i/>
                <w:iCs/>
              </w:rPr>
              <w:t xml:space="preserve">Vĩnh Phúc, ngày </w:t>
            </w:r>
            <w:r w:rsidR="002617F7">
              <w:rPr>
                <w:i/>
                <w:iCs/>
              </w:rPr>
              <w:t>12</w:t>
            </w:r>
            <w:r w:rsidRPr="005C0803">
              <w:rPr>
                <w:i/>
                <w:iCs/>
              </w:rPr>
              <w:t xml:space="preserve"> tháng </w:t>
            </w:r>
            <w:r w:rsidR="002617F7">
              <w:rPr>
                <w:i/>
                <w:iCs/>
              </w:rPr>
              <w:t>5</w:t>
            </w:r>
            <w:r w:rsidRPr="005C0803">
              <w:rPr>
                <w:i/>
                <w:iCs/>
              </w:rPr>
              <w:t xml:space="preserve"> năm 202</w:t>
            </w:r>
            <w:r w:rsidR="00D042FB">
              <w:rPr>
                <w:i/>
                <w:iCs/>
              </w:rPr>
              <w:t>5</w:t>
            </w:r>
          </w:p>
        </w:tc>
      </w:tr>
    </w:tbl>
    <w:p w14:paraId="7FFCF37D" w14:textId="2E93E189" w:rsidR="00F47C5B" w:rsidRPr="00207324" w:rsidRDefault="00F47C5B" w:rsidP="00207324">
      <w:pPr>
        <w:contextualSpacing/>
        <w:rPr>
          <w:b/>
          <w:sz w:val="26"/>
        </w:rPr>
      </w:pPr>
      <w:r w:rsidRPr="005C0803">
        <w:rPr>
          <w:b/>
          <w:sz w:val="26"/>
        </w:rPr>
        <w:t xml:space="preserve">   </w:t>
      </w:r>
      <w:r w:rsidRPr="005C0803">
        <w:rPr>
          <w:b/>
        </w:rPr>
        <w:t xml:space="preserve"> </w:t>
      </w:r>
    </w:p>
    <w:p w14:paraId="32CE710C" w14:textId="77777777" w:rsidR="00F47C5B" w:rsidRPr="005C0803" w:rsidRDefault="00F47C5B" w:rsidP="00F47C5B">
      <w:pPr>
        <w:spacing w:before="120" w:after="120"/>
        <w:contextualSpacing/>
        <w:rPr>
          <w:sz w:val="26"/>
        </w:rPr>
      </w:pPr>
    </w:p>
    <w:p w14:paraId="34D3989A" w14:textId="77777777" w:rsidR="00F47C5B" w:rsidRPr="005C0803" w:rsidRDefault="00F47C5B" w:rsidP="00F47C5B">
      <w:pPr>
        <w:spacing w:before="120" w:after="120"/>
        <w:contextualSpacing/>
        <w:jc w:val="center"/>
        <w:rPr>
          <w:b/>
        </w:rPr>
      </w:pPr>
      <w:r w:rsidRPr="005C0803">
        <w:rPr>
          <w:b/>
        </w:rPr>
        <w:t>QUYẾT ĐỊNH CHẤP THUẬN ĐIỀU CHỈNH CHỦ TRƯƠNG ĐẦU TƯ</w:t>
      </w:r>
    </w:p>
    <w:p w14:paraId="34920B1C" w14:textId="77777777" w:rsidR="00F47C5B" w:rsidRPr="005C0803" w:rsidRDefault="00F47C5B" w:rsidP="00F47C5B">
      <w:pPr>
        <w:jc w:val="center"/>
        <w:rPr>
          <w:b/>
          <w:color w:val="000000" w:themeColor="text1"/>
        </w:rPr>
      </w:pPr>
      <w:r>
        <w:rPr>
          <w:b/>
          <w:color w:val="000000" w:themeColor="text1"/>
        </w:rPr>
        <w:t>Dự án Trung tâm Logistics ICD Vĩnh Phúc</w:t>
      </w:r>
      <w:r w:rsidRPr="005C0803">
        <w:rPr>
          <w:b/>
          <w:color w:val="000000" w:themeColor="text1"/>
        </w:rPr>
        <w:t xml:space="preserve"> của </w:t>
      </w:r>
      <w:r>
        <w:rPr>
          <w:b/>
        </w:rPr>
        <w:t>Công ty Cổ phần T&amp;Y Superport Vĩnh Phúc</w:t>
      </w:r>
    </w:p>
    <w:p w14:paraId="61C10FBB" w14:textId="77777777" w:rsidR="00F47C5B" w:rsidRPr="005C0803" w:rsidRDefault="00F47C5B" w:rsidP="00F47C5B">
      <w:pPr>
        <w:tabs>
          <w:tab w:val="left" w:leader="dot" w:pos="9072"/>
        </w:tabs>
        <w:spacing w:before="80" w:after="80"/>
        <w:jc w:val="center"/>
        <w:rPr>
          <w:sz w:val="26"/>
          <w:szCs w:val="26"/>
        </w:rPr>
      </w:pPr>
      <w:r w:rsidRPr="005C0803">
        <w:rPr>
          <w:sz w:val="26"/>
          <w:szCs w:val="26"/>
        </w:rPr>
        <w:t xml:space="preserve">(cấp lần đầu: ngày </w:t>
      </w:r>
      <w:r w:rsidR="009F048E">
        <w:rPr>
          <w:sz w:val="26"/>
          <w:szCs w:val="26"/>
        </w:rPr>
        <w:t>12</w:t>
      </w:r>
      <w:r w:rsidRPr="005C0803">
        <w:rPr>
          <w:sz w:val="26"/>
          <w:szCs w:val="26"/>
        </w:rPr>
        <w:t xml:space="preserve"> tháng </w:t>
      </w:r>
      <w:r>
        <w:rPr>
          <w:sz w:val="26"/>
          <w:szCs w:val="26"/>
        </w:rPr>
        <w:t>11</w:t>
      </w:r>
      <w:r w:rsidRPr="005C0803">
        <w:rPr>
          <w:sz w:val="26"/>
          <w:szCs w:val="26"/>
        </w:rPr>
        <w:t xml:space="preserve"> năm 20</w:t>
      </w:r>
      <w:r w:rsidR="009F048E">
        <w:rPr>
          <w:sz w:val="26"/>
          <w:szCs w:val="26"/>
        </w:rPr>
        <w:t>20</w:t>
      </w:r>
      <w:r w:rsidRPr="005C0803">
        <w:rPr>
          <w:sz w:val="26"/>
          <w:szCs w:val="26"/>
        </w:rPr>
        <w:t>)</w:t>
      </w:r>
    </w:p>
    <w:p w14:paraId="46855B9D" w14:textId="5554E0CB" w:rsidR="00F47C5B" w:rsidRPr="005C0803" w:rsidRDefault="002617F7" w:rsidP="00F47C5B">
      <w:pPr>
        <w:tabs>
          <w:tab w:val="left" w:leader="dot" w:pos="9072"/>
        </w:tabs>
        <w:spacing w:before="80" w:after="80"/>
        <w:jc w:val="center"/>
        <w:rPr>
          <w:sz w:val="26"/>
          <w:szCs w:val="26"/>
        </w:rPr>
      </w:pPr>
      <w:r w:rsidRPr="005C0803">
        <w:rPr>
          <w:b/>
          <w:noProof/>
        </w:rPr>
        <mc:AlternateContent>
          <mc:Choice Requires="wps">
            <w:drawing>
              <wp:anchor distT="0" distB="0" distL="114300" distR="114300" simplePos="0" relativeHeight="251662336" behindDoc="0" locked="0" layoutInCell="1" allowOverlap="1" wp14:anchorId="7B44DD6E" wp14:editId="256200B0">
                <wp:simplePos x="0" y="0"/>
                <wp:positionH relativeFrom="column">
                  <wp:posOffset>2033905</wp:posOffset>
                </wp:positionH>
                <wp:positionV relativeFrom="paragraph">
                  <wp:posOffset>233045</wp:posOffset>
                </wp:positionV>
                <wp:extent cx="1685925" cy="0"/>
                <wp:effectExtent l="0" t="0" r="28575"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85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1E334F5" id="_x0000_t32" coordsize="21600,21600" o:spt="32" o:oned="t" path="m,l21600,21600e" filled="f">
                <v:path arrowok="t" fillok="f" o:connecttype="none"/>
                <o:lock v:ext="edit" shapetype="t"/>
              </v:shapetype>
              <v:shape id="Straight Arrow Connector 4" o:spid="_x0000_s1026" type="#_x0000_t32" style="position:absolute;margin-left:160.15pt;margin-top:18.35pt;width:132.7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"/>
            </w:pict>
          </mc:Fallback>
        </mc:AlternateContent>
      </w:r>
      <w:r w:rsidR="00F47C5B" w:rsidRPr="005C0803">
        <w:rPr>
          <w:sz w:val="26"/>
          <w:szCs w:val="26"/>
        </w:rPr>
        <w:t xml:space="preserve">(điều chỉnh lần thứ nhất: ngày </w:t>
      </w:r>
      <w:r>
        <w:rPr>
          <w:sz w:val="26"/>
          <w:szCs w:val="26"/>
        </w:rPr>
        <w:t>12</w:t>
      </w:r>
      <w:r w:rsidR="00F47C5B" w:rsidRPr="005C0803">
        <w:rPr>
          <w:sz w:val="26"/>
          <w:szCs w:val="26"/>
        </w:rPr>
        <w:t xml:space="preserve"> tháng </w:t>
      </w:r>
      <w:r>
        <w:rPr>
          <w:sz w:val="26"/>
          <w:szCs w:val="26"/>
        </w:rPr>
        <w:t>5</w:t>
      </w:r>
      <w:r w:rsidR="00F47C5B" w:rsidRPr="005C0803">
        <w:rPr>
          <w:sz w:val="26"/>
          <w:szCs w:val="26"/>
        </w:rPr>
        <w:t xml:space="preserve"> năm </w:t>
      </w:r>
      <w:r w:rsidR="00F47C5B">
        <w:rPr>
          <w:sz w:val="26"/>
          <w:szCs w:val="26"/>
        </w:rPr>
        <w:t>202</w:t>
      </w:r>
      <w:r w:rsidR="009F048E">
        <w:rPr>
          <w:sz w:val="26"/>
          <w:szCs w:val="26"/>
        </w:rPr>
        <w:t>5</w:t>
      </w:r>
      <w:r w:rsidR="00F47C5B" w:rsidRPr="005C0803">
        <w:rPr>
          <w:sz w:val="26"/>
          <w:szCs w:val="26"/>
        </w:rPr>
        <w:t>)</w:t>
      </w:r>
    </w:p>
    <w:p w14:paraId="05187858" w14:textId="5D1DA522" w:rsidR="00F47C5B" w:rsidRPr="005C0803" w:rsidRDefault="00F47C5B" w:rsidP="00F47C5B">
      <w:pPr>
        <w:spacing w:before="120" w:after="120"/>
        <w:contextualSpacing/>
        <w:jc w:val="center"/>
        <w:rPr>
          <w:b/>
        </w:rPr>
      </w:pPr>
    </w:p>
    <w:p w14:paraId="16CD8770" w14:textId="77777777" w:rsidR="00F47C5B" w:rsidRPr="005C0803" w:rsidRDefault="00F47C5B" w:rsidP="00F47C5B">
      <w:pPr>
        <w:tabs>
          <w:tab w:val="center" w:pos="284"/>
        </w:tabs>
        <w:spacing w:before="120" w:after="120"/>
        <w:ind w:firstLine="720"/>
        <w:contextualSpacing/>
        <w:jc w:val="center"/>
        <w:rPr>
          <w:b/>
          <w:color w:val="000000"/>
        </w:rPr>
      </w:pPr>
      <w:r w:rsidRPr="005C0803">
        <w:rPr>
          <w:b/>
          <w:color w:val="000000"/>
        </w:rPr>
        <w:t>ỦY BAN NHÂN DÂN TỈNH VĨNH PHÚC</w:t>
      </w:r>
    </w:p>
    <w:p w14:paraId="65D18164" w14:textId="77777777" w:rsidR="00F47C5B" w:rsidRPr="005C0803" w:rsidRDefault="00F47C5B" w:rsidP="00F47C5B">
      <w:pPr>
        <w:spacing w:before="120" w:after="120"/>
        <w:contextualSpacing/>
        <w:jc w:val="center"/>
        <w:rPr>
          <w:b/>
        </w:rPr>
      </w:pPr>
    </w:p>
    <w:p w14:paraId="315DD1E4" w14:textId="77777777" w:rsidR="00F47C5B" w:rsidRPr="00D1106D" w:rsidRDefault="00F47C5B" w:rsidP="00C1216B">
      <w:pPr>
        <w:tabs>
          <w:tab w:val="center" w:pos="284"/>
        </w:tabs>
        <w:spacing w:before="60" w:after="60" w:line="400" w:lineRule="exact"/>
        <w:ind w:firstLine="720"/>
        <w:jc w:val="both"/>
        <w:rPr>
          <w:i/>
        </w:rPr>
      </w:pPr>
      <w:bookmarkStart w:id="1" w:name="_Hlk131925598"/>
      <w:r w:rsidRPr="00D1106D">
        <w:rPr>
          <w:i/>
        </w:rPr>
        <w:t>Căn cứ Luật Đầu tư số 61/2020/QH14 ngày 17/6/2020;</w:t>
      </w:r>
    </w:p>
    <w:p w14:paraId="7749D544" w14:textId="77777777" w:rsidR="00F47C5B" w:rsidRPr="00D1106D" w:rsidRDefault="00F47C5B" w:rsidP="00C1216B">
      <w:pPr>
        <w:tabs>
          <w:tab w:val="center" w:pos="284"/>
        </w:tabs>
        <w:spacing w:before="60" w:after="60" w:line="400" w:lineRule="exact"/>
        <w:ind w:firstLine="720"/>
        <w:jc w:val="both"/>
        <w:rPr>
          <w:i/>
        </w:rPr>
      </w:pPr>
      <w:r w:rsidRPr="00D1106D">
        <w:rPr>
          <w:i/>
        </w:rPr>
        <w:t>Căn cứ Luật Doanh nghiệp số 59/2020/QH14ngày 17/6/2020;</w:t>
      </w:r>
    </w:p>
    <w:p w14:paraId="66878FCE" w14:textId="77777777" w:rsidR="00F47C5B" w:rsidRPr="00D1106D" w:rsidRDefault="00F47C5B" w:rsidP="00C1216B">
      <w:pPr>
        <w:tabs>
          <w:tab w:val="center" w:pos="284"/>
        </w:tabs>
        <w:spacing w:before="60" w:after="60" w:line="400" w:lineRule="exact"/>
        <w:ind w:firstLine="720"/>
        <w:jc w:val="both"/>
        <w:rPr>
          <w:i/>
        </w:rPr>
      </w:pPr>
      <w:r w:rsidRPr="00D1106D">
        <w:rPr>
          <w:i/>
        </w:rPr>
        <w:t>Căn cứ Nghị định số 31/2021/NĐ-CP ngày 26/3/2021 của Chính phủ quy định chi tiết và hướng dẫn thi hành một số điều của Luật Đầu tư;</w:t>
      </w:r>
    </w:p>
    <w:p w14:paraId="79A4C6A5" w14:textId="77777777" w:rsidR="00F47C5B" w:rsidRPr="00D1106D" w:rsidRDefault="00F47C5B" w:rsidP="00C1216B">
      <w:pPr>
        <w:tabs>
          <w:tab w:val="center" w:pos="284"/>
        </w:tabs>
        <w:spacing w:before="60" w:after="60" w:line="400" w:lineRule="exact"/>
        <w:ind w:firstLine="720"/>
        <w:jc w:val="both"/>
        <w:rPr>
          <w:i/>
          <w:iCs/>
          <w:shd w:val="clear" w:color="auto" w:fill="FFFFFF"/>
        </w:rPr>
      </w:pPr>
      <w:r w:rsidRPr="00D1106D">
        <w:rPr>
          <w:i/>
        </w:rPr>
        <w:t xml:space="preserve">Căn cứ Thông tư số 03/2021/TT-BKHĐT ngày 09/4/2021 quy định mẫu văn bản, báo cáo liên </w:t>
      </w:r>
      <w:r w:rsidRPr="00D1106D">
        <w:rPr>
          <w:i/>
          <w:iCs/>
          <w:shd w:val="clear" w:color="auto" w:fill="FFFFFF"/>
        </w:rPr>
        <w:t>quan đến hoạt động đầu tư tại Việt Nam, đầu tư từ Việt Nam ra nước ngoài và xúc tiến đầu tư;</w:t>
      </w:r>
    </w:p>
    <w:p w14:paraId="4165AEF6" w14:textId="77777777" w:rsidR="00F47C5B" w:rsidRPr="00D1106D" w:rsidRDefault="00F47C5B" w:rsidP="00C1216B">
      <w:pPr>
        <w:tabs>
          <w:tab w:val="center" w:pos="284"/>
        </w:tabs>
        <w:spacing w:before="60" w:after="60" w:line="400" w:lineRule="exact"/>
        <w:ind w:firstLine="720"/>
        <w:jc w:val="both"/>
        <w:rPr>
          <w:i/>
          <w:iCs/>
          <w:shd w:val="clear" w:color="auto" w:fill="FFFFFF"/>
        </w:rPr>
      </w:pPr>
      <w:r w:rsidRPr="00D1106D">
        <w:rPr>
          <w:i/>
          <w:iCs/>
          <w:shd w:val="clear" w:color="auto" w:fill="FFFFFF"/>
        </w:rPr>
        <w:t>Căn cứ Thông tư 25/2023/TT-BKHĐT ngày 31/12/2023 sửa đổi, bổ sung một số Điều của Thông tư số </w:t>
      </w:r>
      <w:hyperlink r:id="rId6" w:tgtFrame="_blank" w:tooltip="Thông tư 03/2021/TT-BKHĐT" w:history="1">
        <w:r w:rsidRPr="00D1106D">
          <w:rPr>
            <w:i/>
            <w:iCs/>
          </w:rPr>
          <w:t>03/2021/TT-BKHĐT</w:t>
        </w:r>
      </w:hyperlink>
      <w:r w:rsidRPr="00D1106D">
        <w:rPr>
          <w:i/>
          <w:iCs/>
          <w:shd w:val="clear" w:color="auto" w:fill="FFFFFF"/>
        </w:rPr>
        <w:t> ngày 09/4/2021 của Bộ trưởng Bộ Kế hoạch và Đầu tư quy định mẫu văn bản, báo cáo liên quan đến hoạt động đầu tư tại Việt Nam, đầu tư từ Việt Nam ra nước ngoài và xúc tiến đầu tư;</w:t>
      </w:r>
    </w:p>
    <w:p w14:paraId="74F5F97E" w14:textId="77777777" w:rsidR="00F47C5B" w:rsidRPr="00D1106D" w:rsidRDefault="00F47C5B" w:rsidP="00C1216B">
      <w:pPr>
        <w:tabs>
          <w:tab w:val="center" w:pos="284"/>
        </w:tabs>
        <w:spacing w:before="60" w:after="60" w:line="400" w:lineRule="exact"/>
        <w:ind w:firstLine="720"/>
        <w:jc w:val="both"/>
        <w:rPr>
          <w:i/>
        </w:rPr>
      </w:pPr>
      <w:r w:rsidRPr="00D1106D">
        <w:rPr>
          <w:i/>
          <w:color w:val="000000" w:themeColor="text1"/>
        </w:rPr>
        <w:t xml:space="preserve">Căn cứ Quyết định chủ trương đầu tư số </w:t>
      </w:r>
      <w:r w:rsidRPr="00D1106D">
        <w:rPr>
          <w:i/>
          <w:color w:val="000000"/>
        </w:rPr>
        <w:t xml:space="preserve">2768/QĐ-UBND ngày 12/11/2020 </w:t>
      </w:r>
      <w:r w:rsidRPr="00D1106D">
        <w:rPr>
          <w:i/>
          <w:color w:val="000000" w:themeColor="text1"/>
        </w:rPr>
        <w:t>của UBND tỉnh Vĩnh Phúc</w:t>
      </w:r>
      <w:r w:rsidRPr="00D1106D">
        <w:rPr>
          <w:i/>
        </w:rPr>
        <w:t xml:space="preserve"> cho Dự án Trung tâm Logistics ICD Vĩnh Phúc;</w:t>
      </w:r>
    </w:p>
    <w:p w14:paraId="1B7146B8" w14:textId="23E06773" w:rsidR="00F47C5B" w:rsidRDefault="00F47C5B" w:rsidP="00C1216B">
      <w:pPr>
        <w:spacing w:before="60" w:after="60" w:line="400" w:lineRule="exact"/>
        <w:ind w:firstLine="720"/>
        <w:jc w:val="both"/>
        <w:rPr>
          <w:i/>
          <w:color w:val="000000" w:themeColor="text1"/>
        </w:rPr>
      </w:pPr>
      <w:r w:rsidRPr="00D1106D">
        <w:rPr>
          <w:i/>
          <w:color w:val="000000" w:themeColor="text1"/>
        </w:rPr>
        <w:t>Căn cứ Quyết định số 3372/QĐ-UBND ngày 31/12/2020 của UBND tỉnh Vĩnh Phúc về việc phê duyệt điều chỉnh Quy hoạch chi tiết tỉ lệ 1/500 Trung tâm Logistics Vĩnh Phúc tại thị trấn Hương Canh và xã Sơn Lôi, huyện Bình Xuyên, tỉnh Vĩnh Phúc;</w:t>
      </w:r>
    </w:p>
    <w:p w14:paraId="72ED59BA" w14:textId="71F3B929" w:rsidR="004F4CA5" w:rsidRPr="00D1106D" w:rsidRDefault="004F4CA5" w:rsidP="00C1216B">
      <w:pPr>
        <w:spacing w:before="60" w:after="60" w:line="400" w:lineRule="exact"/>
        <w:ind w:firstLine="720"/>
        <w:jc w:val="both"/>
        <w:rPr>
          <w:i/>
          <w:color w:val="000000" w:themeColor="text1"/>
        </w:rPr>
      </w:pPr>
      <w:r>
        <w:rPr>
          <w:i/>
          <w:color w:val="000000" w:themeColor="text1"/>
        </w:rPr>
        <w:t xml:space="preserve">Căn </w:t>
      </w:r>
      <w:r w:rsidR="00207324">
        <w:rPr>
          <w:i/>
          <w:color w:val="000000" w:themeColor="text1"/>
        </w:rPr>
        <w:t>cứ  Thông báo kết luận số 298-KL</w:t>
      </w:r>
      <w:r w:rsidR="00CA7662">
        <w:rPr>
          <w:i/>
          <w:color w:val="000000" w:themeColor="text1"/>
        </w:rPr>
        <w:t xml:space="preserve">/TU ngày </w:t>
      </w:r>
      <w:r w:rsidR="00207324">
        <w:rPr>
          <w:i/>
          <w:color w:val="000000" w:themeColor="text1"/>
        </w:rPr>
        <w:t>25/4/2025</w:t>
      </w:r>
      <w:r w:rsidR="00CA7662">
        <w:rPr>
          <w:i/>
          <w:color w:val="000000" w:themeColor="text1"/>
        </w:rPr>
        <w:t xml:space="preserve"> của</w:t>
      </w:r>
      <w:r w:rsidR="00207324">
        <w:rPr>
          <w:i/>
          <w:color w:val="000000" w:themeColor="text1"/>
        </w:rPr>
        <w:t xml:space="preserve"> Ban Thường vụ Tỉnh ủy tại hội nghị ngày 25/4/2025; Nghị quyết số 44-NQ/TU ngày 25/4/2025 của</w:t>
      </w:r>
      <w:r w:rsidR="00CA7662">
        <w:rPr>
          <w:i/>
          <w:color w:val="000000" w:themeColor="text1"/>
        </w:rPr>
        <w:t xml:space="preserve"> Ban chấp hành Đảng bộ tỉnh Vĩnh Phúc;</w:t>
      </w:r>
    </w:p>
    <w:p w14:paraId="5BE466A1" w14:textId="5F72C017" w:rsidR="00F47C5B" w:rsidRPr="00D1106D" w:rsidRDefault="00207324" w:rsidP="00C1216B">
      <w:pPr>
        <w:spacing w:before="60" w:after="60" w:line="400" w:lineRule="exact"/>
        <w:ind w:firstLine="720"/>
        <w:jc w:val="both"/>
        <w:rPr>
          <w:i/>
          <w:color w:val="000000" w:themeColor="text1"/>
          <w:shd w:val="clear" w:color="auto" w:fill="FFFFFF"/>
        </w:rPr>
      </w:pPr>
      <w:r>
        <w:rPr>
          <w:i/>
        </w:rPr>
        <w:t xml:space="preserve"> </w:t>
      </w:r>
      <w:bookmarkEnd w:id="1"/>
      <w:r w:rsidR="00F47C5B" w:rsidRPr="00D1106D">
        <w:rPr>
          <w:i/>
          <w:color w:val="000000" w:themeColor="text1"/>
          <w:shd w:val="clear" w:color="auto" w:fill="FFFFFF"/>
        </w:rPr>
        <w:t>Căn cứ văn bản đề nghị điều chỉnh dự án đầu tư và hồ sơ nộp kèm theo của Công ty Cổ phần T&amp;Y Superport Vĩnh Phúc;</w:t>
      </w:r>
    </w:p>
    <w:p w14:paraId="565CF822" w14:textId="63D7550D" w:rsidR="00F47C5B" w:rsidRPr="00D1106D" w:rsidRDefault="00F47C5B" w:rsidP="00C1216B">
      <w:pPr>
        <w:tabs>
          <w:tab w:val="center" w:pos="284"/>
        </w:tabs>
        <w:spacing w:before="60" w:after="60" w:line="400" w:lineRule="exact"/>
        <w:ind w:firstLine="720"/>
        <w:jc w:val="both"/>
        <w:rPr>
          <w:b/>
          <w:lang w:val="en-AU"/>
        </w:rPr>
      </w:pPr>
      <w:r w:rsidRPr="00D1106D">
        <w:rPr>
          <w:i/>
          <w:color w:val="000000" w:themeColor="text1"/>
          <w:shd w:val="clear" w:color="auto" w:fill="FFFFFF"/>
        </w:rPr>
        <w:lastRenderedPageBreak/>
        <w:t>Xét báo cáo thẩm định số</w:t>
      </w:r>
      <w:r w:rsidR="00207324">
        <w:rPr>
          <w:i/>
          <w:color w:val="000000" w:themeColor="text1"/>
          <w:shd w:val="clear" w:color="auto" w:fill="FFFFFF"/>
        </w:rPr>
        <w:t xml:space="preserve"> 76/BC-STC ngày 28/3/2025, công văn số 1610/STC-KTĐN ngày 06/5/2025, công văn số 1636/STC-KTĐN ngày 07/5/2025 của Sở Tài chính,</w:t>
      </w:r>
    </w:p>
    <w:p w14:paraId="47A80A7D" w14:textId="678C40CC" w:rsidR="00F47C5B" w:rsidRDefault="00F47C5B" w:rsidP="00BA13AD">
      <w:pPr>
        <w:pStyle w:val="BodyTextIndent2"/>
        <w:spacing w:before="60" w:after="60" w:line="400" w:lineRule="exact"/>
        <w:ind w:left="0"/>
        <w:contextualSpacing/>
        <w:jc w:val="center"/>
        <w:rPr>
          <w:b/>
          <w:lang w:val="en-AU"/>
        </w:rPr>
      </w:pPr>
      <w:r w:rsidRPr="00D1106D">
        <w:rPr>
          <w:b/>
          <w:lang w:val="en-AU"/>
        </w:rPr>
        <w:t>QUYẾT ĐỊNH:</w:t>
      </w:r>
    </w:p>
    <w:p w14:paraId="0A9EB2D8" w14:textId="77777777" w:rsidR="002617F7" w:rsidRPr="00D1106D" w:rsidRDefault="002617F7" w:rsidP="00C1216B">
      <w:pPr>
        <w:pStyle w:val="BodyTextIndent2"/>
        <w:spacing w:before="60" w:after="60" w:line="400" w:lineRule="exact"/>
        <w:ind w:left="0" w:firstLine="720"/>
        <w:contextualSpacing/>
        <w:jc w:val="both"/>
        <w:rPr>
          <w:b/>
          <w:lang w:val="en-AU"/>
        </w:rPr>
      </w:pPr>
    </w:p>
    <w:p w14:paraId="70F361E8" w14:textId="77777777" w:rsidR="00F47C5B" w:rsidRPr="00D1106D" w:rsidRDefault="00F47C5B" w:rsidP="00C1216B">
      <w:pPr>
        <w:tabs>
          <w:tab w:val="left" w:leader="dot" w:pos="9072"/>
        </w:tabs>
        <w:spacing w:before="60" w:after="60" w:line="400" w:lineRule="exact"/>
        <w:ind w:firstLine="720"/>
        <w:jc w:val="both"/>
      </w:pPr>
      <w:r w:rsidRPr="00D1106D">
        <w:rPr>
          <w:b/>
        </w:rPr>
        <w:t>Điều 1.</w:t>
      </w:r>
      <w:r w:rsidRPr="00D1106D">
        <w:t xml:space="preserve"> Chấp thuận điều chỉnh</w:t>
      </w:r>
      <w:r w:rsidRPr="00D1106D">
        <w:rPr>
          <w:b/>
        </w:rPr>
        <w:t xml:space="preserve"> </w:t>
      </w:r>
      <w:r w:rsidRPr="00D1106D">
        <w:t>chủ trương đầu tư</w:t>
      </w:r>
      <w:r w:rsidRPr="00D1106D">
        <w:rPr>
          <w:i/>
        </w:rPr>
        <w:t xml:space="preserve"> </w:t>
      </w:r>
      <w:r w:rsidRPr="00D1106D">
        <w:t xml:space="preserve">của </w:t>
      </w:r>
      <w:r w:rsidRPr="00D1106D">
        <w:rPr>
          <w:color w:val="000000" w:themeColor="text1"/>
        </w:rPr>
        <w:t>Dự án Trung tâm Logistics ICD Vĩnh Phúc của Công ty Cổ phần T&amp;Y Superport Vĩnh Phúc</w:t>
      </w:r>
      <w:r w:rsidRPr="00D1106D">
        <w:t xml:space="preserve"> đã được UBND tỉnh Vĩnh Phúc </w:t>
      </w:r>
      <w:r w:rsidR="009A2C82" w:rsidRPr="00D1106D">
        <w:t>quyết định chủ trương đầu tư</w:t>
      </w:r>
      <w:r w:rsidRPr="00D1106D">
        <w:t xml:space="preserve"> tại </w:t>
      </w:r>
      <w:r w:rsidRPr="00D1106D">
        <w:rPr>
          <w:color w:val="000000" w:themeColor="text1"/>
        </w:rPr>
        <w:t xml:space="preserve">Quyết định số </w:t>
      </w:r>
      <w:r w:rsidR="009A2C82" w:rsidRPr="00D1106D">
        <w:rPr>
          <w:iCs/>
          <w:color w:val="000000"/>
        </w:rPr>
        <w:t xml:space="preserve">2768/QĐ-UBND ngày 12/11/2020 </w:t>
      </w:r>
      <w:r w:rsidRPr="00D1106D">
        <w:t xml:space="preserve">với những nội dung điều chỉnh như sau: </w:t>
      </w:r>
    </w:p>
    <w:p w14:paraId="43FFF75E" w14:textId="77777777" w:rsidR="00F47C5B" w:rsidRPr="00D1106D" w:rsidRDefault="00F47C5B" w:rsidP="00C1216B">
      <w:pPr>
        <w:tabs>
          <w:tab w:val="left" w:leader="dot" w:pos="9072"/>
        </w:tabs>
        <w:spacing w:before="60" w:after="60" w:line="400" w:lineRule="exact"/>
        <w:ind w:firstLine="720"/>
        <w:jc w:val="both"/>
      </w:pPr>
      <w:r w:rsidRPr="00D1106D">
        <w:t xml:space="preserve">1. Nội dung điều chỉnh thứ nhất: </w:t>
      </w:r>
    </w:p>
    <w:p w14:paraId="4DC1B52D" w14:textId="77777777" w:rsidR="00F47C5B" w:rsidRPr="00D1106D" w:rsidRDefault="00F47C5B" w:rsidP="00C1216B">
      <w:pPr>
        <w:pStyle w:val="NormalWeb"/>
        <w:spacing w:before="60" w:beforeAutospacing="0" w:after="60" w:afterAutospacing="0" w:line="400" w:lineRule="exact"/>
        <w:ind w:firstLine="720"/>
        <w:jc w:val="both"/>
        <w:rPr>
          <w:color w:val="000000" w:themeColor="text1"/>
          <w:sz w:val="28"/>
          <w:szCs w:val="28"/>
        </w:rPr>
      </w:pPr>
      <w:r w:rsidRPr="00D1106D">
        <w:rPr>
          <w:color w:val="000000" w:themeColor="text1"/>
          <w:sz w:val="28"/>
          <w:szCs w:val="28"/>
        </w:rPr>
        <w:t xml:space="preserve">Nội dung </w:t>
      </w:r>
      <w:r w:rsidR="00BE6959" w:rsidRPr="00D1106D">
        <w:rPr>
          <w:color w:val="000000" w:themeColor="text1"/>
          <w:sz w:val="28"/>
          <w:szCs w:val="28"/>
        </w:rPr>
        <w:t>quy mô đầu tư</w:t>
      </w:r>
      <w:r w:rsidRPr="00D1106D">
        <w:rPr>
          <w:color w:val="000000" w:themeColor="text1"/>
          <w:sz w:val="28"/>
          <w:szCs w:val="28"/>
        </w:rPr>
        <w:t xml:space="preserve"> tại </w:t>
      </w:r>
      <w:r w:rsidR="00BE6959" w:rsidRPr="00D1106D">
        <w:rPr>
          <w:sz w:val="28"/>
          <w:szCs w:val="28"/>
        </w:rPr>
        <w:t>khoản 4 Điều 1 Quyết định số 2768/QĐ-UBND ngày 12/11/2020 được điều chỉnh như sau</w:t>
      </w:r>
      <w:r w:rsidRPr="00D1106D">
        <w:rPr>
          <w:color w:val="000000" w:themeColor="text1"/>
          <w:sz w:val="28"/>
          <w:szCs w:val="28"/>
        </w:rPr>
        <w:t>:</w:t>
      </w:r>
    </w:p>
    <w:p w14:paraId="1B506BFF" w14:textId="77777777" w:rsidR="00BE6959" w:rsidRPr="00D1106D" w:rsidRDefault="00F47C5B" w:rsidP="00C1216B">
      <w:pPr>
        <w:pStyle w:val="BodyText"/>
        <w:spacing w:before="60" w:after="60" w:line="400" w:lineRule="exact"/>
        <w:ind w:firstLine="720"/>
        <w:jc w:val="both"/>
        <w:rPr>
          <w:b/>
          <w:bCs/>
        </w:rPr>
      </w:pPr>
      <w:r w:rsidRPr="00D1106D">
        <w:rPr>
          <w:b/>
          <w:i/>
        </w:rPr>
        <w:t>“</w:t>
      </w:r>
      <w:r w:rsidR="00BE6959" w:rsidRPr="00D1106D">
        <w:rPr>
          <w:b/>
          <w:bCs/>
        </w:rPr>
        <w:t>4. Quy mô đầu tư:</w:t>
      </w:r>
    </w:p>
    <w:p w14:paraId="774BD7A5" w14:textId="77777777" w:rsidR="00BE6959" w:rsidRPr="00D1106D" w:rsidRDefault="00BE6959" w:rsidP="00C1216B">
      <w:pPr>
        <w:pStyle w:val="BodyText"/>
        <w:spacing w:before="60" w:after="60" w:line="400" w:lineRule="exact"/>
        <w:ind w:firstLine="720"/>
        <w:jc w:val="both"/>
      </w:pPr>
      <w:r w:rsidRPr="00D1106D">
        <w:t>- Công suất thiết kế: Hàng hóa thông quan khoảng 530.000 TEU.</w:t>
      </w:r>
    </w:p>
    <w:p w14:paraId="339CD61E" w14:textId="77777777" w:rsidR="00BE6959" w:rsidRPr="00D1106D" w:rsidRDefault="00BE6959" w:rsidP="00C1216B">
      <w:pPr>
        <w:pStyle w:val="BodyText"/>
        <w:spacing w:before="60" w:after="60" w:line="400" w:lineRule="exact"/>
        <w:ind w:firstLine="720"/>
        <w:jc w:val="both"/>
      </w:pPr>
      <w:r w:rsidRPr="00D1106D">
        <w:t>- Quy mô các khu chức năng:</w:t>
      </w:r>
    </w:p>
    <w:p w14:paraId="22CF1C6F" w14:textId="77777777" w:rsidR="00BE6959" w:rsidRPr="00D1106D" w:rsidRDefault="00BE6959" w:rsidP="00C1216B">
      <w:pPr>
        <w:pStyle w:val="BodyText"/>
        <w:spacing w:before="60" w:after="60" w:line="400" w:lineRule="exact"/>
        <w:ind w:firstLine="720"/>
        <w:jc w:val="both"/>
        <w:rPr>
          <w:rStyle w:val="fontstyle01"/>
          <w:sz w:val="28"/>
          <w:szCs w:val="28"/>
        </w:rPr>
      </w:pPr>
      <w:r w:rsidRPr="00D1106D">
        <w:rPr>
          <w:rStyle w:val="fontstyle01"/>
          <w:sz w:val="28"/>
          <w:szCs w:val="28"/>
        </w:rPr>
        <w:t>+ Giai đoạn 1: Tập trung đầu tư xây dựng hệ thống giao thông và hạ tầng đồng bộ dọc theo các tuyến giao thông, xây dựng khu HTKT tập trung (Đầu tư xây dựng 50% phần HTKT) 148.420 m</w:t>
      </w:r>
      <w:r w:rsidRPr="00D1106D">
        <w:rPr>
          <w:rStyle w:val="fontstyle01"/>
          <w:sz w:val="28"/>
          <w:szCs w:val="28"/>
          <w:vertAlign w:val="superscript"/>
        </w:rPr>
        <w:t>2</w:t>
      </w:r>
      <w:r w:rsidRPr="00D1106D">
        <w:rPr>
          <w:rStyle w:val="fontstyle01"/>
          <w:sz w:val="28"/>
          <w:szCs w:val="28"/>
        </w:rPr>
        <w:t>, Hoàn thành kho KL, diện tích 22.950 m</w:t>
      </w:r>
      <w:r w:rsidRPr="00D1106D">
        <w:rPr>
          <w:rStyle w:val="fontstyle01"/>
          <w:sz w:val="28"/>
          <w:szCs w:val="28"/>
          <w:vertAlign w:val="superscript"/>
        </w:rPr>
        <w:t>2</w:t>
      </w:r>
      <w:r w:rsidRPr="00D1106D">
        <w:rPr>
          <w:rStyle w:val="fontstyle01"/>
          <w:sz w:val="28"/>
          <w:szCs w:val="28"/>
        </w:rPr>
        <w:t>và 03 kho hàng hóa, diện tích lần lượt là 22.925 m</w:t>
      </w:r>
      <w:r w:rsidRPr="00D1106D">
        <w:rPr>
          <w:rStyle w:val="fontstyle01"/>
          <w:sz w:val="28"/>
          <w:szCs w:val="28"/>
          <w:vertAlign w:val="superscript"/>
        </w:rPr>
        <w:t>2</w:t>
      </w:r>
      <w:r w:rsidRPr="00D1106D">
        <w:rPr>
          <w:rStyle w:val="fontstyle01"/>
          <w:sz w:val="28"/>
          <w:szCs w:val="28"/>
        </w:rPr>
        <w:t>, 26.051 m</w:t>
      </w:r>
      <w:r w:rsidRPr="00D1106D">
        <w:rPr>
          <w:rStyle w:val="fontstyle01"/>
          <w:sz w:val="28"/>
          <w:szCs w:val="28"/>
          <w:vertAlign w:val="superscript"/>
        </w:rPr>
        <w:t>2</w:t>
      </w:r>
      <w:r w:rsidRPr="00D1106D">
        <w:rPr>
          <w:rStyle w:val="fontstyle01"/>
          <w:sz w:val="28"/>
          <w:szCs w:val="28"/>
        </w:rPr>
        <w:t>, 28.226 m</w:t>
      </w:r>
      <w:r w:rsidRPr="00D1106D">
        <w:rPr>
          <w:rStyle w:val="fontstyle01"/>
          <w:sz w:val="28"/>
          <w:szCs w:val="28"/>
          <w:vertAlign w:val="superscript"/>
        </w:rPr>
        <w:t>2</w:t>
      </w:r>
      <w:r w:rsidRPr="00D1106D">
        <w:rPr>
          <w:rStyle w:val="fontstyle01"/>
          <w:sz w:val="28"/>
          <w:szCs w:val="28"/>
        </w:rPr>
        <w:t>, tổng diện tích 248.572 m</w:t>
      </w:r>
      <w:r w:rsidRPr="00D1106D">
        <w:rPr>
          <w:rStyle w:val="fontstyle01"/>
          <w:sz w:val="28"/>
          <w:szCs w:val="28"/>
          <w:vertAlign w:val="superscript"/>
        </w:rPr>
        <w:t>2</w:t>
      </w:r>
      <w:r w:rsidRPr="00D1106D">
        <w:rPr>
          <w:rStyle w:val="fontstyle01"/>
          <w:sz w:val="28"/>
          <w:szCs w:val="28"/>
        </w:rPr>
        <w:t>.</w:t>
      </w:r>
    </w:p>
    <w:p w14:paraId="7E829880" w14:textId="77777777" w:rsidR="00BE6959" w:rsidRPr="00D1106D" w:rsidRDefault="00BE6959" w:rsidP="00C1216B">
      <w:pPr>
        <w:pStyle w:val="BodyText"/>
        <w:spacing w:before="60" w:after="60" w:line="400" w:lineRule="exact"/>
        <w:ind w:firstLine="720"/>
        <w:jc w:val="both"/>
        <w:rPr>
          <w:rStyle w:val="fontstyle01"/>
          <w:sz w:val="28"/>
          <w:szCs w:val="28"/>
        </w:rPr>
      </w:pPr>
      <w:r w:rsidRPr="00D1106D">
        <w:rPr>
          <w:rStyle w:val="fontstyle01"/>
          <w:sz w:val="28"/>
          <w:szCs w:val="28"/>
        </w:rPr>
        <w:t>+ Giai đoạn 2: Xây dựng nhà điều hành khu ICD, diện tích 9.138 m</w:t>
      </w:r>
      <w:r w:rsidRPr="00D1106D">
        <w:rPr>
          <w:rStyle w:val="fontstyle01"/>
          <w:sz w:val="28"/>
          <w:szCs w:val="28"/>
          <w:vertAlign w:val="superscript"/>
        </w:rPr>
        <w:t>2</w:t>
      </w:r>
      <w:r w:rsidRPr="00D1106D">
        <w:rPr>
          <w:rStyle w:val="fontstyle01"/>
          <w:sz w:val="28"/>
          <w:szCs w:val="28"/>
        </w:rPr>
        <w:t>; Xưởng sửa chữa và sân bãi 6.750 m</w:t>
      </w:r>
      <w:r w:rsidRPr="00D1106D">
        <w:rPr>
          <w:rStyle w:val="fontstyle01"/>
          <w:sz w:val="28"/>
          <w:szCs w:val="28"/>
          <w:vertAlign w:val="superscript"/>
        </w:rPr>
        <w:t>2</w:t>
      </w:r>
      <w:r w:rsidRPr="00D1106D">
        <w:rPr>
          <w:rStyle w:val="fontstyle01"/>
          <w:sz w:val="28"/>
          <w:szCs w:val="28"/>
        </w:rPr>
        <w:t>; một phần bãi ICD, diện tích là 17,470 m</w:t>
      </w:r>
      <w:r w:rsidRPr="00D1106D">
        <w:rPr>
          <w:rStyle w:val="fontstyle01"/>
          <w:sz w:val="28"/>
          <w:szCs w:val="28"/>
          <w:vertAlign w:val="superscript"/>
        </w:rPr>
        <w:t>2</w:t>
      </w:r>
      <w:r w:rsidRPr="00D1106D">
        <w:rPr>
          <w:rStyle w:val="fontstyle01"/>
          <w:sz w:val="28"/>
          <w:szCs w:val="28"/>
        </w:rPr>
        <w:t>; xây dựng 02 kho hàng hóa tiếp theo, diện tích lần lượt là 27.216 m</w:t>
      </w:r>
      <w:r w:rsidRPr="00D1106D">
        <w:rPr>
          <w:rStyle w:val="fontstyle01"/>
          <w:sz w:val="28"/>
          <w:szCs w:val="28"/>
          <w:vertAlign w:val="superscript"/>
        </w:rPr>
        <w:t xml:space="preserve">2 </w:t>
      </w:r>
      <w:r w:rsidRPr="00D1106D">
        <w:rPr>
          <w:rStyle w:val="fontstyle01"/>
          <w:sz w:val="28"/>
          <w:szCs w:val="28"/>
        </w:rPr>
        <w:t>và 24.827 m</w:t>
      </w:r>
      <w:r w:rsidRPr="00D1106D">
        <w:rPr>
          <w:rStyle w:val="fontstyle01"/>
          <w:sz w:val="28"/>
          <w:szCs w:val="28"/>
          <w:vertAlign w:val="superscript"/>
        </w:rPr>
        <w:t>2</w:t>
      </w:r>
      <w:r w:rsidRPr="00D1106D">
        <w:rPr>
          <w:rStyle w:val="fontstyle01"/>
          <w:sz w:val="28"/>
          <w:szCs w:val="28"/>
        </w:rPr>
        <w:t>. Đầu tư xây dựng 50% phần HTKT còn lại 148.420 m</w:t>
      </w:r>
      <w:r w:rsidRPr="00D1106D">
        <w:rPr>
          <w:rStyle w:val="fontstyle01"/>
          <w:sz w:val="28"/>
          <w:szCs w:val="28"/>
          <w:vertAlign w:val="superscript"/>
        </w:rPr>
        <w:t>2</w:t>
      </w:r>
      <w:r w:rsidRPr="00D1106D">
        <w:rPr>
          <w:rStyle w:val="fontstyle01"/>
          <w:sz w:val="28"/>
          <w:szCs w:val="28"/>
        </w:rPr>
        <w:t>. Tổng diện tích là 233.821 m</w:t>
      </w:r>
      <w:r w:rsidRPr="00D1106D">
        <w:rPr>
          <w:rStyle w:val="fontstyle01"/>
          <w:sz w:val="28"/>
          <w:szCs w:val="28"/>
          <w:vertAlign w:val="superscript"/>
        </w:rPr>
        <w:t>2</w:t>
      </w:r>
      <w:r w:rsidRPr="00D1106D">
        <w:rPr>
          <w:rStyle w:val="fontstyle01"/>
          <w:sz w:val="28"/>
          <w:szCs w:val="28"/>
        </w:rPr>
        <w:t>.</w:t>
      </w:r>
    </w:p>
    <w:p w14:paraId="73215FF5" w14:textId="77777777" w:rsidR="00BE6959" w:rsidRPr="00D1106D" w:rsidRDefault="00BE6959" w:rsidP="00C1216B">
      <w:pPr>
        <w:pStyle w:val="BodyText"/>
        <w:spacing w:before="60" w:after="60" w:line="400" w:lineRule="exact"/>
        <w:ind w:firstLine="720"/>
        <w:jc w:val="both"/>
        <w:rPr>
          <w:rStyle w:val="fontstyle01"/>
          <w:sz w:val="28"/>
          <w:szCs w:val="28"/>
        </w:rPr>
      </w:pPr>
      <w:r w:rsidRPr="00D1106D">
        <w:rPr>
          <w:rStyle w:val="fontstyle01"/>
          <w:sz w:val="28"/>
          <w:szCs w:val="28"/>
        </w:rPr>
        <w:t>+ Giai đoạn 3: Xây dựng 03 kho hàng hóa tiếp theo, diện tích lần lượt là 29.149 m</w:t>
      </w:r>
      <w:r w:rsidRPr="00D1106D">
        <w:rPr>
          <w:rStyle w:val="fontstyle01"/>
          <w:sz w:val="28"/>
          <w:szCs w:val="28"/>
          <w:vertAlign w:val="superscript"/>
        </w:rPr>
        <w:t>2</w:t>
      </w:r>
      <w:r w:rsidRPr="00D1106D">
        <w:rPr>
          <w:rStyle w:val="fontstyle01"/>
          <w:sz w:val="28"/>
          <w:szCs w:val="28"/>
        </w:rPr>
        <w:t>, 28.824 m</w:t>
      </w:r>
      <w:r w:rsidRPr="00D1106D">
        <w:rPr>
          <w:rStyle w:val="fontstyle01"/>
          <w:sz w:val="28"/>
          <w:szCs w:val="28"/>
          <w:vertAlign w:val="superscript"/>
        </w:rPr>
        <w:t xml:space="preserve">2 </w:t>
      </w:r>
      <w:r w:rsidRPr="00D1106D">
        <w:rPr>
          <w:rStyle w:val="fontstyle01"/>
          <w:sz w:val="28"/>
          <w:szCs w:val="28"/>
        </w:rPr>
        <w:t>và 43.566 m</w:t>
      </w:r>
      <w:r w:rsidRPr="00D1106D">
        <w:rPr>
          <w:rStyle w:val="fontstyle01"/>
          <w:sz w:val="28"/>
          <w:szCs w:val="28"/>
          <w:vertAlign w:val="superscript"/>
        </w:rPr>
        <w:t>2</w:t>
      </w:r>
      <w:r w:rsidRPr="00D1106D">
        <w:rPr>
          <w:rStyle w:val="fontstyle01"/>
          <w:sz w:val="28"/>
          <w:szCs w:val="28"/>
        </w:rPr>
        <w:t>, và 41,973 m</w:t>
      </w:r>
      <w:r w:rsidRPr="00D1106D">
        <w:rPr>
          <w:rStyle w:val="fontstyle01"/>
          <w:sz w:val="28"/>
          <w:szCs w:val="28"/>
          <w:vertAlign w:val="superscript"/>
        </w:rPr>
        <w:t xml:space="preserve">2 </w:t>
      </w:r>
      <w:r w:rsidRPr="00D1106D">
        <w:rPr>
          <w:rStyle w:val="fontstyle01"/>
          <w:sz w:val="28"/>
          <w:szCs w:val="28"/>
        </w:rPr>
        <w:t>diện tích khu bãi ICD. Tổng diện tích là 143.512 m</w:t>
      </w:r>
      <w:r w:rsidRPr="00D1106D">
        <w:rPr>
          <w:rStyle w:val="fontstyle01"/>
          <w:sz w:val="28"/>
          <w:szCs w:val="28"/>
          <w:vertAlign w:val="superscript"/>
        </w:rPr>
        <w:t>2</w:t>
      </w:r>
      <w:r w:rsidRPr="00D1106D">
        <w:rPr>
          <w:rStyle w:val="fontstyle01"/>
          <w:sz w:val="28"/>
          <w:szCs w:val="28"/>
        </w:rPr>
        <w:t>.</w:t>
      </w:r>
    </w:p>
    <w:p w14:paraId="626B24C6" w14:textId="77777777" w:rsidR="00F47C5B" w:rsidRPr="00D1106D" w:rsidRDefault="00BE6959" w:rsidP="00C1216B">
      <w:pPr>
        <w:pStyle w:val="NormalWeb"/>
        <w:spacing w:before="60" w:beforeAutospacing="0" w:after="60" w:afterAutospacing="0" w:line="400" w:lineRule="exact"/>
        <w:ind w:firstLine="720"/>
        <w:jc w:val="both"/>
        <w:rPr>
          <w:sz w:val="28"/>
          <w:szCs w:val="28"/>
        </w:rPr>
      </w:pPr>
      <w:r w:rsidRPr="00D1106D">
        <w:rPr>
          <w:rStyle w:val="fontstyle01"/>
          <w:sz w:val="28"/>
          <w:szCs w:val="28"/>
        </w:rPr>
        <w:t>+ Giai đoạn 4: Triển khai xây dựng 02 nhà kho còn lại, diện tích lần lượt là 38.719 m</w:t>
      </w:r>
      <w:r w:rsidRPr="00D1106D">
        <w:rPr>
          <w:rStyle w:val="fontstyle01"/>
          <w:sz w:val="28"/>
          <w:szCs w:val="28"/>
          <w:vertAlign w:val="superscript"/>
        </w:rPr>
        <w:t xml:space="preserve">2 </w:t>
      </w:r>
      <w:r w:rsidRPr="00D1106D">
        <w:rPr>
          <w:rStyle w:val="fontstyle01"/>
          <w:sz w:val="28"/>
          <w:szCs w:val="28"/>
        </w:rPr>
        <w:t>và 22.950 m</w:t>
      </w:r>
      <w:r w:rsidRPr="00D1106D">
        <w:rPr>
          <w:rStyle w:val="fontstyle01"/>
          <w:sz w:val="28"/>
          <w:szCs w:val="28"/>
          <w:vertAlign w:val="superscript"/>
        </w:rPr>
        <w:t>2</w:t>
      </w:r>
      <w:r w:rsidRPr="00D1106D">
        <w:rPr>
          <w:rStyle w:val="fontstyle01"/>
          <w:sz w:val="28"/>
          <w:szCs w:val="28"/>
        </w:rPr>
        <w:t>; Trung tâm phân phối SCC diện tích 75.700 m</w:t>
      </w:r>
      <w:r w:rsidRPr="00D1106D">
        <w:rPr>
          <w:rStyle w:val="fontstyle01"/>
          <w:sz w:val="28"/>
          <w:szCs w:val="28"/>
          <w:vertAlign w:val="superscript"/>
        </w:rPr>
        <w:t>2</w:t>
      </w:r>
      <w:r w:rsidRPr="00D1106D">
        <w:rPr>
          <w:rStyle w:val="fontstyle01"/>
          <w:sz w:val="28"/>
          <w:szCs w:val="28"/>
        </w:rPr>
        <w:t>) và phần còn lại của bãi ICD diện tích 41.512 m</w:t>
      </w:r>
      <w:r w:rsidRPr="00D1106D">
        <w:rPr>
          <w:rStyle w:val="fontstyle01"/>
          <w:sz w:val="28"/>
          <w:szCs w:val="28"/>
          <w:vertAlign w:val="superscript"/>
        </w:rPr>
        <w:t xml:space="preserve">2 </w:t>
      </w:r>
      <w:r w:rsidRPr="00D1106D">
        <w:rPr>
          <w:rStyle w:val="fontstyle01"/>
          <w:sz w:val="28"/>
          <w:szCs w:val="28"/>
        </w:rPr>
        <w:t>và công trình hỗ trợ diện tích 25.998 m</w:t>
      </w:r>
      <w:r w:rsidRPr="00D1106D">
        <w:rPr>
          <w:rStyle w:val="fontstyle01"/>
          <w:sz w:val="28"/>
          <w:szCs w:val="28"/>
          <w:vertAlign w:val="superscript"/>
        </w:rPr>
        <w:t>2</w:t>
      </w:r>
      <w:r w:rsidRPr="00D1106D">
        <w:rPr>
          <w:rStyle w:val="fontstyle01"/>
          <w:sz w:val="28"/>
          <w:szCs w:val="28"/>
        </w:rPr>
        <w:t>. Tổng diện tích là 204.870 m</w:t>
      </w:r>
      <w:r w:rsidRPr="00D1106D">
        <w:rPr>
          <w:rStyle w:val="fontstyle01"/>
          <w:sz w:val="28"/>
          <w:szCs w:val="28"/>
          <w:vertAlign w:val="superscript"/>
        </w:rPr>
        <w:t>2</w:t>
      </w:r>
      <w:r w:rsidR="005D1CF6" w:rsidRPr="00D1106D">
        <w:rPr>
          <w:rStyle w:val="fontstyle01"/>
          <w:sz w:val="28"/>
          <w:szCs w:val="28"/>
        </w:rPr>
        <w:t>.</w:t>
      </w:r>
      <w:r w:rsidR="00F47C5B" w:rsidRPr="00D1106D">
        <w:rPr>
          <w:sz w:val="28"/>
          <w:szCs w:val="28"/>
        </w:rPr>
        <w:t>”</w:t>
      </w:r>
      <w:r w:rsidR="005D1CF6" w:rsidRPr="00D1106D">
        <w:rPr>
          <w:sz w:val="28"/>
          <w:szCs w:val="28"/>
        </w:rPr>
        <w:t>.</w:t>
      </w:r>
    </w:p>
    <w:p w14:paraId="436EB9FD" w14:textId="77777777" w:rsidR="005D1CF6" w:rsidRPr="00D1106D" w:rsidRDefault="005D1CF6" w:rsidP="00C1216B">
      <w:pPr>
        <w:pStyle w:val="NormalWeb"/>
        <w:spacing w:before="60" w:beforeAutospacing="0" w:after="60" w:afterAutospacing="0" w:line="400" w:lineRule="exact"/>
        <w:ind w:firstLine="720"/>
        <w:jc w:val="both"/>
        <w:rPr>
          <w:sz w:val="28"/>
          <w:szCs w:val="28"/>
        </w:rPr>
      </w:pPr>
      <w:r w:rsidRPr="00D1106D">
        <w:rPr>
          <w:sz w:val="28"/>
          <w:szCs w:val="28"/>
        </w:rPr>
        <w:t>2. Nội dung điều chỉnh thứ hai:</w:t>
      </w:r>
    </w:p>
    <w:p w14:paraId="09E1F4A2" w14:textId="77777777" w:rsidR="005D1CF6" w:rsidRPr="00D1106D" w:rsidRDefault="005D1CF6" w:rsidP="00C1216B">
      <w:pPr>
        <w:pStyle w:val="NormalWeb"/>
        <w:spacing w:before="60" w:beforeAutospacing="0" w:after="60" w:afterAutospacing="0" w:line="400" w:lineRule="exact"/>
        <w:ind w:firstLine="720"/>
        <w:jc w:val="both"/>
        <w:rPr>
          <w:color w:val="000000" w:themeColor="text1"/>
          <w:sz w:val="28"/>
          <w:szCs w:val="28"/>
        </w:rPr>
      </w:pPr>
      <w:r w:rsidRPr="00D1106D">
        <w:rPr>
          <w:color w:val="000000" w:themeColor="text1"/>
          <w:sz w:val="28"/>
          <w:szCs w:val="28"/>
        </w:rPr>
        <w:lastRenderedPageBreak/>
        <w:t xml:space="preserve">Nội dung tổng vốn đầu tư tại </w:t>
      </w:r>
      <w:r w:rsidRPr="00D1106D">
        <w:rPr>
          <w:sz w:val="28"/>
          <w:szCs w:val="28"/>
        </w:rPr>
        <w:t>khoản 6 Điều 1 Quyết định số 2768/QĐ-UBND ngày 12/11/2020 được điều chỉnh như sau</w:t>
      </w:r>
      <w:r w:rsidRPr="00D1106D">
        <w:rPr>
          <w:color w:val="000000" w:themeColor="text1"/>
          <w:sz w:val="28"/>
          <w:szCs w:val="28"/>
        </w:rPr>
        <w:t>:</w:t>
      </w:r>
    </w:p>
    <w:p w14:paraId="6787D9EC" w14:textId="77777777" w:rsidR="007A4C96" w:rsidRPr="002956F5" w:rsidRDefault="005D1CF6" w:rsidP="00C1216B">
      <w:pPr>
        <w:spacing w:before="60" w:after="60" w:line="400" w:lineRule="exact"/>
        <w:ind w:right="-27" w:firstLine="720"/>
        <w:jc w:val="both"/>
        <w:rPr>
          <w:color w:val="000000" w:themeColor="text1"/>
          <w:lang w:val="pt-BR"/>
        </w:rPr>
      </w:pPr>
      <w:r w:rsidRPr="00D1106D">
        <w:t>“</w:t>
      </w:r>
      <w:r w:rsidRPr="00D1106D">
        <w:rPr>
          <w:b/>
          <w:bCs/>
        </w:rPr>
        <w:t>6. Tổng vốn đầu tư:</w:t>
      </w:r>
      <w:r w:rsidRPr="00D1106D">
        <w:t xml:space="preserve"> </w:t>
      </w:r>
      <w:r w:rsidR="007A4C96" w:rsidRPr="002956F5">
        <w:rPr>
          <w:color w:val="000000" w:themeColor="text1"/>
          <w:lang w:val="pt-BR"/>
        </w:rPr>
        <w:t xml:space="preserve">Tổng vốn đầu tư của dự án: </w:t>
      </w:r>
      <w:r w:rsidR="007A4C96" w:rsidRPr="002956F5">
        <w:t>6.914.400.000.000 (</w:t>
      </w:r>
      <w:r w:rsidR="007A4C96" w:rsidRPr="002956F5">
        <w:rPr>
          <w:i/>
          <w:iCs/>
        </w:rPr>
        <w:t xml:space="preserve">sáu nghìn chín trăm mười bốn tỷ bốn trăm triệu) </w:t>
      </w:r>
      <w:r w:rsidR="007A4C96" w:rsidRPr="002956F5">
        <w:t>đồng</w:t>
      </w:r>
      <w:r w:rsidR="007A4C96" w:rsidRPr="002956F5">
        <w:rPr>
          <w:bCs/>
          <w:iCs/>
          <w:color w:val="000000" w:themeColor="text1"/>
          <w:lang w:val="pt-BR"/>
        </w:rPr>
        <w:t xml:space="preserve">, tương đương </w:t>
      </w:r>
      <w:r w:rsidR="007A4C96" w:rsidRPr="002956F5">
        <w:rPr>
          <w:lang w:val="pt-BR"/>
        </w:rPr>
        <w:t>273.400.000</w:t>
      </w:r>
      <w:r w:rsidR="007A4C96" w:rsidRPr="002956F5">
        <w:rPr>
          <w:bCs/>
          <w:iCs/>
          <w:color w:val="000000" w:themeColor="text1"/>
          <w:lang w:val="pt-BR"/>
        </w:rPr>
        <w:t xml:space="preserve"> (</w:t>
      </w:r>
      <w:r w:rsidR="007A4C96" w:rsidRPr="002956F5">
        <w:rPr>
          <w:bCs/>
          <w:i/>
          <w:color w:val="000000" w:themeColor="text1"/>
          <w:lang w:val="pt-BR"/>
        </w:rPr>
        <w:t>hai trăm bảy mươi ba triệu bốn trăm nghìn</w:t>
      </w:r>
      <w:r w:rsidR="007A4C96" w:rsidRPr="002956F5">
        <w:rPr>
          <w:bCs/>
          <w:iCs/>
          <w:color w:val="000000" w:themeColor="text1"/>
          <w:lang w:val="pt-BR"/>
        </w:rPr>
        <w:t>) đô la Mỹ</w:t>
      </w:r>
      <w:r w:rsidR="007A4C96" w:rsidRPr="002956F5">
        <w:rPr>
          <w:bCs/>
          <w:i/>
          <w:iCs/>
          <w:color w:val="000000" w:themeColor="text1"/>
          <w:lang w:val="pt-BR"/>
        </w:rPr>
        <w:t xml:space="preserve">, </w:t>
      </w:r>
      <w:r w:rsidR="007A4C96" w:rsidRPr="002956F5">
        <w:rPr>
          <w:color w:val="000000" w:themeColor="text1"/>
          <w:lang w:val="pt-BR"/>
        </w:rPr>
        <w:t>trong đó:</w:t>
      </w:r>
    </w:p>
    <w:p w14:paraId="61C025D3" w14:textId="6CE3744A" w:rsidR="007A4C96" w:rsidRPr="002956F5" w:rsidRDefault="007A4C96" w:rsidP="00C1216B">
      <w:pPr>
        <w:spacing w:before="60" w:after="60" w:line="400" w:lineRule="exact"/>
        <w:ind w:right="-27" w:firstLine="720"/>
        <w:jc w:val="both"/>
        <w:rPr>
          <w:color w:val="000000" w:themeColor="text1"/>
          <w:lang w:val="pt-BR"/>
        </w:rPr>
      </w:pPr>
      <w:r w:rsidRPr="002956F5">
        <w:rPr>
          <w:color w:val="000000" w:themeColor="text1"/>
          <w:lang w:val="pt-BR"/>
        </w:rPr>
        <w:t xml:space="preserve">- Vốn góp để thực hiện dự án là </w:t>
      </w:r>
      <w:r w:rsidRPr="00207324">
        <w:rPr>
          <w:lang w:val="pt-BR"/>
        </w:rPr>
        <w:t>1.037.200.000.000 (</w:t>
      </w:r>
      <w:r w:rsidRPr="00207324">
        <w:rPr>
          <w:i/>
          <w:iCs/>
          <w:lang w:val="pt-BR"/>
        </w:rPr>
        <w:t>một nghìn không trăm ba mươi bảy tỷ hai trăm triệu đồng</w:t>
      </w:r>
      <w:r w:rsidRPr="00207324">
        <w:rPr>
          <w:lang w:val="pt-BR"/>
        </w:rPr>
        <w:t>), tương đương 41.000.000 (</w:t>
      </w:r>
      <w:r w:rsidRPr="00207324">
        <w:rPr>
          <w:i/>
          <w:iCs/>
          <w:lang w:val="pt-BR"/>
        </w:rPr>
        <w:t>bốn mươi mốt triệu</w:t>
      </w:r>
      <w:r w:rsidRPr="00207324">
        <w:rPr>
          <w:lang w:val="pt-BR"/>
        </w:rPr>
        <w:t xml:space="preserve">) </w:t>
      </w:r>
      <w:r w:rsidRPr="002956F5">
        <w:rPr>
          <w:bCs/>
          <w:iCs/>
          <w:color w:val="000000" w:themeColor="text1"/>
          <w:lang w:val="pt-BR"/>
        </w:rPr>
        <w:t>đô la Mỹ</w:t>
      </w:r>
      <w:r w:rsidR="00207324">
        <w:rPr>
          <w:color w:val="000000" w:themeColor="text1"/>
          <w:lang w:val="pt-BR"/>
        </w:rPr>
        <w:t>, chiếm tỉ lệ 15% tổng vốn đầu tư.</w:t>
      </w:r>
    </w:p>
    <w:p w14:paraId="62C7DC32" w14:textId="199DAD86" w:rsidR="005D1CF6" w:rsidRPr="00D1106D" w:rsidRDefault="0011420E" w:rsidP="00C1216B">
      <w:pPr>
        <w:spacing w:beforeLines="60" w:before="144" w:afterLines="60" w:after="144" w:line="400" w:lineRule="exact"/>
        <w:ind w:firstLine="720"/>
        <w:jc w:val="both"/>
        <w:rPr>
          <w:lang w:val="fr-FR"/>
        </w:rPr>
      </w:pPr>
      <w:r w:rsidRPr="004C3E33">
        <w:rPr>
          <w:color w:val="000000" w:themeColor="text1"/>
          <w:lang w:val="pt-BR"/>
        </w:rPr>
        <w:t>- Vốn huy động: 5.877.200.000.000</w:t>
      </w:r>
      <w:r w:rsidRPr="00300E7E">
        <w:rPr>
          <w:color w:val="FF0000"/>
          <w:lang w:val="fr-FR"/>
        </w:rPr>
        <w:t xml:space="preserve"> </w:t>
      </w:r>
      <w:r w:rsidRPr="002956F5">
        <w:rPr>
          <w:lang w:val="fr-FR"/>
        </w:rPr>
        <w:t>(</w:t>
      </w:r>
      <w:r w:rsidRPr="002956F5">
        <w:rPr>
          <w:i/>
          <w:iCs/>
          <w:lang w:val="fr-FR"/>
        </w:rPr>
        <w:t>năm nghìn tám trăm bảy mươi bảy tỷ</w:t>
      </w:r>
      <w:r>
        <w:rPr>
          <w:i/>
          <w:iCs/>
          <w:lang w:val="fr-FR"/>
        </w:rPr>
        <w:t xml:space="preserve"> hai trăm triệu</w:t>
      </w:r>
      <w:r w:rsidRPr="002956F5">
        <w:rPr>
          <w:i/>
          <w:iCs/>
          <w:lang w:val="fr-FR"/>
        </w:rPr>
        <w:t xml:space="preserve">) </w:t>
      </w:r>
      <w:r w:rsidRPr="002956F5">
        <w:rPr>
          <w:lang w:val="fr-FR"/>
        </w:rPr>
        <w:t>đồng tương đương 232.400.000 (</w:t>
      </w:r>
      <w:r w:rsidRPr="002956F5">
        <w:rPr>
          <w:i/>
          <w:iCs/>
          <w:lang w:val="fr-FR"/>
        </w:rPr>
        <w:t>hai trăm ba mươi hai triệu bốn trăm nghìn)</w:t>
      </w:r>
      <w:r w:rsidRPr="002956F5">
        <w:rPr>
          <w:lang w:val="fr-FR"/>
        </w:rPr>
        <w:t xml:space="preserve"> đô la Mỹ</w:t>
      </w:r>
      <w:r>
        <w:rPr>
          <w:lang w:val="fr-FR"/>
        </w:rPr>
        <w:t>.</w:t>
      </w:r>
      <w:r w:rsidR="005D1CF6" w:rsidRPr="00D1106D">
        <w:rPr>
          <w:color w:val="000000" w:themeColor="text1"/>
          <w:lang w:val="sv-SE"/>
        </w:rPr>
        <w:t>”.</w:t>
      </w:r>
      <w:r w:rsidR="005D1CF6" w:rsidRPr="00D1106D">
        <w:rPr>
          <w:lang w:val="fr-FR"/>
        </w:rPr>
        <w:t> </w:t>
      </w:r>
    </w:p>
    <w:p w14:paraId="28575E28" w14:textId="77777777" w:rsidR="00F73F5C" w:rsidRPr="00D1106D" w:rsidRDefault="00F73F5C" w:rsidP="00C1216B">
      <w:pPr>
        <w:pStyle w:val="NormalWeb"/>
        <w:spacing w:before="60" w:beforeAutospacing="0" w:after="60" w:afterAutospacing="0" w:line="400" w:lineRule="exact"/>
        <w:ind w:firstLine="720"/>
        <w:jc w:val="both"/>
        <w:rPr>
          <w:sz w:val="28"/>
          <w:szCs w:val="28"/>
          <w:lang w:val="fr-FR"/>
        </w:rPr>
      </w:pPr>
      <w:r w:rsidRPr="00D1106D">
        <w:rPr>
          <w:sz w:val="28"/>
          <w:szCs w:val="28"/>
          <w:lang w:val="fr-FR"/>
        </w:rPr>
        <w:t>3. Nội dung điều chỉnh thứ ba :</w:t>
      </w:r>
    </w:p>
    <w:p w14:paraId="3AC3DEE7" w14:textId="77777777" w:rsidR="00F73F5C" w:rsidRPr="00207324" w:rsidRDefault="00F73F5C" w:rsidP="00C1216B">
      <w:pPr>
        <w:pStyle w:val="NormalWeb"/>
        <w:spacing w:before="60" w:beforeAutospacing="0" w:after="60" w:afterAutospacing="0" w:line="400" w:lineRule="exact"/>
        <w:ind w:firstLine="720"/>
        <w:jc w:val="both"/>
        <w:rPr>
          <w:color w:val="000000" w:themeColor="text1"/>
          <w:sz w:val="28"/>
          <w:szCs w:val="28"/>
          <w:lang w:val="fr-FR"/>
        </w:rPr>
      </w:pPr>
      <w:r w:rsidRPr="00207324">
        <w:rPr>
          <w:color w:val="000000" w:themeColor="text1"/>
          <w:sz w:val="28"/>
          <w:szCs w:val="28"/>
          <w:lang w:val="fr-FR"/>
        </w:rPr>
        <w:t xml:space="preserve">Nội dung tiến độ đầu tư thực hiện dự án tại </w:t>
      </w:r>
      <w:r w:rsidRPr="00207324">
        <w:rPr>
          <w:sz w:val="28"/>
          <w:szCs w:val="28"/>
          <w:lang w:val="fr-FR"/>
        </w:rPr>
        <w:t>khoản 8 Điều 1 Quyết định số 2768/QĐ-UBND ngày 12/11/2020 được điều chỉnh như sau</w:t>
      </w:r>
      <w:r w:rsidRPr="00207324">
        <w:rPr>
          <w:color w:val="000000" w:themeColor="text1"/>
          <w:sz w:val="28"/>
          <w:szCs w:val="28"/>
          <w:lang w:val="fr-FR"/>
        </w:rPr>
        <w:t>:</w:t>
      </w:r>
    </w:p>
    <w:p w14:paraId="074B0A81" w14:textId="6A6E53FF" w:rsidR="00F73F5C" w:rsidRPr="00207324" w:rsidRDefault="00F4211B" w:rsidP="00C1216B">
      <w:pPr>
        <w:pStyle w:val="BodyText"/>
        <w:spacing w:before="60" w:after="60" w:line="400" w:lineRule="exact"/>
        <w:ind w:firstLine="720"/>
        <w:jc w:val="both"/>
        <w:rPr>
          <w:rStyle w:val="fontstyle01"/>
          <w:b/>
          <w:bCs/>
          <w:sz w:val="28"/>
          <w:szCs w:val="28"/>
          <w:lang w:val="fr-FR"/>
        </w:rPr>
      </w:pPr>
      <w:r w:rsidRPr="00207324">
        <w:rPr>
          <w:rStyle w:val="fontstyle01"/>
          <w:b/>
          <w:bCs/>
          <w:sz w:val="28"/>
          <w:szCs w:val="28"/>
          <w:lang w:val="fr-FR"/>
        </w:rPr>
        <w:t>“</w:t>
      </w:r>
      <w:r w:rsidR="00F73F5C" w:rsidRPr="00207324">
        <w:rPr>
          <w:rStyle w:val="fontstyle01"/>
          <w:b/>
          <w:bCs/>
          <w:sz w:val="28"/>
          <w:szCs w:val="28"/>
          <w:lang w:val="fr-FR"/>
        </w:rPr>
        <w:t>8. Tiến độ đầu tư thực hiện dự án:</w:t>
      </w:r>
    </w:p>
    <w:p w14:paraId="64DEAE62" w14:textId="77777777" w:rsidR="00F73F5C" w:rsidRPr="00207324" w:rsidRDefault="00F73F5C" w:rsidP="00C1216B">
      <w:pPr>
        <w:pStyle w:val="BodyText"/>
        <w:spacing w:before="60" w:after="60" w:line="400" w:lineRule="exact"/>
        <w:ind w:firstLine="720"/>
        <w:jc w:val="both"/>
        <w:rPr>
          <w:lang w:val="fr-FR"/>
        </w:rPr>
      </w:pPr>
      <w:r w:rsidRPr="00207324">
        <w:rPr>
          <w:lang w:val="fr-FR"/>
        </w:rPr>
        <w:t>a) Tiến độ góp vốn và huy động các nguồn vốn:</w:t>
      </w:r>
    </w:p>
    <w:p w14:paraId="4DD4D64B" w14:textId="77777777" w:rsidR="00F73F5C" w:rsidRPr="00D1106D" w:rsidRDefault="00F73F5C" w:rsidP="00C1216B">
      <w:pPr>
        <w:pStyle w:val="BodyText"/>
        <w:spacing w:before="60" w:after="60" w:line="400" w:lineRule="exact"/>
        <w:ind w:firstLine="720"/>
        <w:jc w:val="both"/>
        <w:rPr>
          <w:b/>
          <w:bCs/>
          <w:color w:val="000000"/>
        </w:rPr>
      </w:pPr>
      <w:r w:rsidRPr="00D1106D">
        <w:t>-</w:t>
      </w:r>
      <w:r w:rsidRPr="00D1106D">
        <w:rPr>
          <w:lang w:val="sv-SE"/>
        </w:rPr>
        <w:t xml:space="preserve"> </w:t>
      </w:r>
      <w:r w:rsidRPr="00D1106D">
        <w:rPr>
          <w:lang w:val="vi-VN"/>
        </w:rPr>
        <w:t>Vốn góp:</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45"/>
        <w:gridCol w:w="1376"/>
        <w:gridCol w:w="1481"/>
        <w:gridCol w:w="1268"/>
        <w:gridCol w:w="786"/>
        <w:gridCol w:w="1161"/>
        <w:gridCol w:w="2534"/>
      </w:tblGrid>
      <w:tr w:rsidR="00B83E4E" w:rsidRPr="00D1106D" w14:paraId="46E78AD0" w14:textId="77777777" w:rsidTr="00C1216B">
        <w:trPr>
          <w:trHeight w:val="356"/>
        </w:trPr>
        <w:tc>
          <w:tcPr>
            <w:tcW w:w="745" w:type="dxa"/>
            <w:vMerge w:val="restart"/>
            <w:vAlign w:val="center"/>
          </w:tcPr>
          <w:p w14:paraId="29F7E872" w14:textId="77777777" w:rsidR="00B83E4E" w:rsidRPr="00D1106D" w:rsidRDefault="00B83E4E" w:rsidP="002617F7">
            <w:pPr>
              <w:tabs>
                <w:tab w:val="left" w:leader="dot" w:pos="9072"/>
              </w:tabs>
              <w:spacing w:before="60" w:afterLines="50" w:after="120" w:line="400" w:lineRule="exact"/>
              <w:jc w:val="center"/>
            </w:pPr>
            <w:r w:rsidRPr="00D1106D">
              <w:t>STT</w:t>
            </w:r>
          </w:p>
        </w:tc>
        <w:tc>
          <w:tcPr>
            <w:tcW w:w="1376" w:type="dxa"/>
            <w:vMerge w:val="restart"/>
            <w:vAlign w:val="center"/>
          </w:tcPr>
          <w:p w14:paraId="269D15E9" w14:textId="77777777" w:rsidR="00B83E4E" w:rsidRPr="00D1106D" w:rsidRDefault="00B83E4E" w:rsidP="002617F7">
            <w:pPr>
              <w:tabs>
                <w:tab w:val="left" w:leader="dot" w:pos="9072"/>
              </w:tabs>
              <w:spacing w:before="60" w:afterLines="50" w:after="120" w:line="400" w:lineRule="exact"/>
              <w:jc w:val="center"/>
            </w:pPr>
            <w:r w:rsidRPr="00D1106D">
              <w:t>Tên nhà đầu tư</w:t>
            </w:r>
          </w:p>
        </w:tc>
        <w:tc>
          <w:tcPr>
            <w:tcW w:w="2749" w:type="dxa"/>
            <w:gridSpan w:val="2"/>
            <w:vAlign w:val="center"/>
          </w:tcPr>
          <w:p w14:paraId="735E63D5" w14:textId="77777777" w:rsidR="00B83E4E" w:rsidRPr="00D1106D" w:rsidRDefault="00B83E4E" w:rsidP="002617F7">
            <w:pPr>
              <w:tabs>
                <w:tab w:val="left" w:leader="dot" w:pos="9072"/>
              </w:tabs>
              <w:spacing w:before="60" w:afterLines="50" w:after="120" w:line="400" w:lineRule="exact"/>
              <w:jc w:val="center"/>
            </w:pPr>
            <w:r w:rsidRPr="00D1106D">
              <w:t>Số vốn góp</w:t>
            </w:r>
          </w:p>
        </w:tc>
        <w:tc>
          <w:tcPr>
            <w:tcW w:w="786" w:type="dxa"/>
            <w:vMerge w:val="restart"/>
            <w:vAlign w:val="center"/>
          </w:tcPr>
          <w:p w14:paraId="0728DA91" w14:textId="77777777" w:rsidR="00B83E4E" w:rsidRPr="00D1106D" w:rsidRDefault="00B83E4E" w:rsidP="002617F7">
            <w:pPr>
              <w:tabs>
                <w:tab w:val="left" w:leader="dot" w:pos="9072"/>
              </w:tabs>
              <w:spacing w:before="60" w:afterLines="50" w:after="120" w:line="400" w:lineRule="exact"/>
              <w:jc w:val="center"/>
            </w:pPr>
            <w:r w:rsidRPr="00D1106D">
              <w:t>Tỷ lệ (%)</w:t>
            </w:r>
          </w:p>
        </w:tc>
        <w:tc>
          <w:tcPr>
            <w:tcW w:w="1161" w:type="dxa"/>
            <w:vMerge w:val="restart"/>
            <w:vAlign w:val="center"/>
          </w:tcPr>
          <w:p w14:paraId="4555ADA3" w14:textId="77777777" w:rsidR="00B83E4E" w:rsidRPr="00D1106D" w:rsidRDefault="00B83E4E" w:rsidP="002617F7">
            <w:pPr>
              <w:tabs>
                <w:tab w:val="left" w:leader="dot" w:pos="9072"/>
              </w:tabs>
              <w:spacing w:before="60" w:afterLines="50" w:after="120" w:line="400" w:lineRule="exact"/>
              <w:jc w:val="center"/>
            </w:pPr>
            <w:r w:rsidRPr="00D1106D">
              <w:t>Phương thức góp vốn</w:t>
            </w:r>
          </w:p>
        </w:tc>
        <w:tc>
          <w:tcPr>
            <w:tcW w:w="2534" w:type="dxa"/>
            <w:vMerge w:val="restart"/>
            <w:vAlign w:val="center"/>
          </w:tcPr>
          <w:p w14:paraId="02F33291" w14:textId="77777777" w:rsidR="00B83E4E" w:rsidRPr="00D1106D" w:rsidRDefault="00B83E4E" w:rsidP="002617F7">
            <w:pPr>
              <w:tabs>
                <w:tab w:val="left" w:leader="dot" w:pos="9072"/>
              </w:tabs>
              <w:spacing w:before="60" w:afterLines="50" w:after="120" w:line="400" w:lineRule="exact"/>
              <w:jc w:val="center"/>
            </w:pPr>
            <w:r w:rsidRPr="00D1106D">
              <w:t>Tiến độ góp vốn</w:t>
            </w:r>
          </w:p>
        </w:tc>
      </w:tr>
      <w:tr w:rsidR="00B83E4E" w:rsidRPr="00D1106D" w14:paraId="35EC045B" w14:textId="77777777" w:rsidTr="00C1216B">
        <w:tc>
          <w:tcPr>
            <w:tcW w:w="745" w:type="dxa"/>
            <w:vMerge/>
            <w:vAlign w:val="center"/>
          </w:tcPr>
          <w:p w14:paraId="3BC538DD" w14:textId="77777777" w:rsidR="00B83E4E" w:rsidRPr="00D1106D" w:rsidRDefault="00B83E4E" w:rsidP="002617F7">
            <w:pPr>
              <w:tabs>
                <w:tab w:val="left" w:leader="dot" w:pos="9072"/>
              </w:tabs>
              <w:spacing w:before="60" w:afterLines="50" w:after="120" w:line="400" w:lineRule="exact"/>
              <w:jc w:val="both"/>
            </w:pPr>
          </w:p>
        </w:tc>
        <w:tc>
          <w:tcPr>
            <w:tcW w:w="1376" w:type="dxa"/>
            <w:vMerge/>
            <w:vAlign w:val="center"/>
          </w:tcPr>
          <w:p w14:paraId="182344F6" w14:textId="77777777" w:rsidR="00B83E4E" w:rsidRPr="00D1106D" w:rsidRDefault="00B83E4E" w:rsidP="002617F7">
            <w:pPr>
              <w:tabs>
                <w:tab w:val="left" w:leader="dot" w:pos="9072"/>
              </w:tabs>
              <w:spacing w:before="60" w:afterLines="50" w:after="120" w:line="400" w:lineRule="exact"/>
              <w:jc w:val="both"/>
            </w:pPr>
          </w:p>
        </w:tc>
        <w:tc>
          <w:tcPr>
            <w:tcW w:w="1481" w:type="dxa"/>
            <w:vAlign w:val="center"/>
          </w:tcPr>
          <w:p w14:paraId="1C196092" w14:textId="77777777" w:rsidR="00B83E4E" w:rsidRPr="00D1106D" w:rsidRDefault="00B83E4E" w:rsidP="002617F7">
            <w:pPr>
              <w:tabs>
                <w:tab w:val="left" w:leader="dot" w:pos="9072"/>
              </w:tabs>
              <w:spacing w:before="60" w:afterLines="50" w:after="120" w:line="400" w:lineRule="exact"/>
              <w:jc w:val="center"/>
            </w:pPr>
            <w:r w:rsidRPr="00D1106D">
              <w:t>VNĐ</w:t>
            </w:r>
          </w:p>
        </w:tc>
        <w:tc>
          <w:tcPr>
            <w:tcW w:w="1268" w:type="dxa"/>
            <w:vAlign w:val="center"/>
          </w:tcPr>
          <w:p w14:paraId="149A744B" w14:textId="77777777" w:rsidR="00B83E4E" w:rsidRPr="00D1106D" w:rsidRDefault="00B83E4E" w:rsidP="002617F7">
            <w:pPr>
              <w:tabs>
                <w:tab w:val="left" w:leader="dot" w:pos="9072"/>
              </w:tabs>
              <w:spacing w:before="60" w:afterLines="50" w:after="120" w:line="400" w:lineRule="exact"/>
              <w:jc w:val="center"/>
            </w:pPr>
            <w:r w:rsidRPr="00D1106D">
              <w:t>Tương đương USD</w:t>
            </w:r>
          </w:p>
        </w:tc>
        <w:tc>
          <w:tcPr>
            <w:tcW w:w="786" w:type="dxa"/>
            <w:vMerge/>
            <w:vAlign w:val="center"/>
          </w:tcPr>
          <w:p w14:paraId="046C1E04" w14:textId="77777777" w:rsidR="00B83E4E" w:rsidRPr="00D1106D" w:rsidRDefault="00B83E4E" w:rsidP="002617F7">
            <w:pPr>
              <w:tabs>
                <w:tab w:val="left" w:leader="dot" w:pos="9072"/>
              </w:tabs>
              <w:spacing w:before="60" w:afterLines="50" w:after="120" w:line="400" w:lineRule="exact"/>
              <w:jc w:val="both"/>
            </w:pPr>
          </w:p>
        </w:tc>
        <w:tc>
          <w:tcPr>
            <w:tcW w:w="1161" w:type="dxa"/>
            <w:vMerge/>
            <w:vAlign w:val="center"/>
          </w:tcPr>
          <w:p w14:paraId="42C83ED8" w14:textId="77777777" w:rsidR="00B83E4E" w:rsidRPr="00D1106D" w:rsidRDefault="00B83E4E" w:rsidP="002617F7">
            <w:pPr>
              <w:tabs>
                <w:tab w:val="left" w:leader="dot" w:pos="9072"/>
              </w:tabs>
              <w:spacing w:before="60" w:afterLines="50" w:after="120" w:line="400" w:lineRule="exact"/>
              <w:jc w:val="both"/>
            </w:pPr>
          </w:p>
        </w:tc>
        <w:tc>
          <w:tcPr>
            <w:tcW w:w="2534" w:type="dxa"/>
            <w:vMerge/>
            <w:vAlign w:val="center"/>
          </w:tcPr>
          <w:p w14:paraId="171FB193" w14:textId="77777777" w:rsidR="00B83E4E" w:rsidRPr="00D1106D" w:rsidRDefault="00B83E4E" w:rsidP="002617F7">
            <w:pPr>
              <w:tabs>
                <w:tab w:val="left" w:leader="dot" w:pos="9072"/>
              </w:tabs>
              <w:spacing w:before="60" w:afterLines="50" w:after="120" w:line="400" w:lineRule="exact"/>
              <w:jc w:val="both"/>
            </w:pPr>
          </w:p>
        </w:tc>
      </w:tr>
      <w:tr w:rsidR="00B83E4E" w:rsidRPr="00D1106D" w14:paraId="07ED37F4" w14:textId="77777777" w:rsidTr="00C1216B">
        <w:trPr>
          <w:trHeight w:val="898"/>
        </w:trPr>
        <w:tc>
          <w:tcPr>
            <w:tcW w:w="745" w:type="dxa"/>
            <w:vMerge w:val="restart"/>
            <w:vAlign w:val="center"/>
          </w:tcPr>
          <w:p w14:paraId="3A6FFA7D" w14:textId="77777777" w:rsidR="00B83E4E" w:rsidRPr="00D1106D" w:rsidRDefault="00B83E4E" w:rsidP="002617F7">
            <w:pPr>
              <w:tabs>
                <w:tab w:val="left" w:leader="dot" w:pos="9072"/>
              </w:tabs>
              <w:spacing w:before="60" w:afterLines="50" w:after="120" w:line="400" w:lineRule="exact"/>
              <w:jc w:val="both"/>
            </w:pPr>
            <w:r w:rsidRPr="00D1106D">
              <w:t>1</w:t>
            </w:r>
          </w:p>
        </w:tc>
        <w:tc>
          <w:tcPr>
            <w:tcW w:w="1376" w:type="dxa"/>
            <w:vMerge w:val="restart"/>
            <w:vAlign w:val="center"/>
          </w:tcPr>
          <w:p w14:paraId="74E968AB" w14:textId="77777777" w:rsidR="00B83E4E" w:rsidRPr="00D1106D" w:rsidRDefault="00B83E4E" w:rsidP="002617F7">
            <w:pPr>
              <w:tabs>
                <w:tab w:val="left" w:leader="dot" w:pos="9072"/>
              </w:tabs>
              <w:spacing w:before="60" w:afterLines="50" w:after="120" w:line="400" w:lineRule="exact"/>
              <w:jc w:val="both"/>
            </w:pPr>
            <w:r w:rsidRPr="00D1106D">
              <w:t>Công ty Cổ phần Tập đoàn T&amp;T</w:t>
            </w:r>
          </w:p>
        </w:tc>
        <w:tc>
          <w:tcPr>
            <w:tcW w:w="1481" w:type="dxa"/>
            <w:vAlign w:val="center"/>
          </w:tcPr>
          <w:p w14:paraId="39617177" w14:textId="77777777" w:rsidR="00B83E4E" w:rsidRPr="00D1106D" w:rsidRDefault="00B83E4E" w:rsidP="002617F7">
            <w:pPr>
              <w:tabs>
                <w:tab w:val="left" w:leader="dot" w:pos="9072"/>
              </w:tabs>
              <w:spacing w:before="60" w:afterLines="50" w:after="120" w:line="400" w:lineRule="exact"/>
              <w:jc w:val="both"/>
            </w:pPr>
            <w:r w:rsidRPr="00D1106D">
              <w:t xml:space="preserve">307,16 tỷ </w:t>
            </w:r>
          </w:p>
        </w:tc>
        <w:tc>
          <w:tcPr>
            <w:tcW w:w="1268" w:type="dxa"/>
            <w:vAlign w:val="center"/>
          </w:tcPr>
          <w:p w14:paraId="6A4ABA1E" w14:textId="77777777" w:rsidR="00B83E4E" w:rsidRPr="00D1106D" w:rsidRDefault="00B83E4E" w:rsidP="002617F7">
            <w:pPr>
              <w:tabs>
                <w:tab w:val="left" w:leader="dot" w:pos="9072"/>
              </w:tabs>
              <w:spacing w:before="60" w:afterLines="50" w:after="120" w:line="400" w:lineRule="exact"/>
              <w:jc w:val="both"/>
            </w:pPr>
            <w:r w:rsidRPr="00D1106D">
              <w:t>13,2 triệu</w:t>
            </w:r>
          </w:p>
        </w:tc>
        <w:tc>
          <w:tcPr>
            <w:tcW w:w="786" w:type="dxa"/>
            <w:vMerge w:val="restart"/>
            <w:vAlign w:val="center"/>
          </w:tcPr>
          <w:p w14:paraId="4FD31393" w14:textId="77777777" w:rsidR="00B83E4E" w:rsidRPr="00D1106D" w:rsidRDefault="00B83E4E" w:rsidP="002617F7">
            <w:pPr>
              <w:tabs>
                <w:tab w:val="left" w:leader="dot" w:pos="9072"/>
              </w:tabs>
              <w:spacing w:before="60" w:afterLines="50" w:after="120" w:line="400" w:lineRule="exact"/>
              <w:jc w:val="both"/>
            </w:pPr>
            <w:r w:rsidRPr="00D1106D">
              <w:t>40</w:t>
            </w:r>
          </w:p>
        </w:tc>
        <w:tc>
          <w:tcPr>
            <w:tcW w:w="1161" w:type="dxa"/>
            <w:vAlign w:val="center"/>
          </w:tcPr>
          <w:p w14:paraId="6FA2BFD9" w14:textId="77777777" w:rsidR="00B83E4E" w:rsidRPr="00D1106D" w:rsidRDefault="00B83E4E" w:rsidP="002617F7">
            <w:pPr>
              <w:tabs>
                <w:tab w:val="left" w:leader="dot" w:pos="9072"/>
              </w:tabs>
              <w:spacing w:before="60" w:afterLines="50" w:after="120" w:line="400" w:lineRule="exact"/>
              <w:jc w:val="center"/>
            </w:pPr>
            <w:r w:rsidRPr="00D1106D">
              <w:t>Tiền mặt</w:t>
            </w:r>
          </w:p>
        </w:tc>
        <w:tc>
          <w:tcPr>
            <w:tcW w:w="2534" w:type="dxa"/>
            <w:vAlign w:val="center"/>
          </w:tcPr>
          <w:p w14:paraId="51A6D2AE" w14:textId="77777777" w:rsidR="00B83E4E" w:rsidRPr="00D1106D" w:rsidRDefault="00B83E4E" w:rsidP="002617F7">
            <w:pPr>
              <w:tabs>
                <w:tab w:val="left" w:leader="dot" w:pos="9072"/>
              </w:tabs>
              <w:spacing w:before="60" w:afterLines="50" w:after="120" w:line="400" w:lineRule="exact"/>
              <w:jc w:val="center"/>
            </w:pPr>
            <w:r w:rsidRPr="00D1106D">
              <w:t>Đã góp đủ</w:t>
            </w:r>
          </w:p>
        </w:tc>
      </w:tr>
      <w:tr w:rsidR="00B83E4E" w:rsidRPr="00D1106D" w14:paraId="5D1FDB44" w14:textId="77777777" w:rsidTr="00C1216B">
        <w:tc>
          <w:tcPr>
            <w:tcW w:w="745" w:type="dxa"/>
            <w:vMerge/>
            <w:vAlign w:val="center"/>
          </w:tcPr>
          <w:p w14:paraId="32883DD8" w14:textId="77777777" w:rsidR="00B83E4E" w:rsidRPr="00D1106D" w:rsidRDefault="00B83E4E" w:rsidP="002617F7">
            <w:pPr>
              <w:tabs>
                <w:tab w:val="left" w:leader="dot" w:pos="9072"/>
              </w:tabs>
              <w:spacing w:before="60" w:afterLines="50" w:after="120" w:line="400" w:lineRule="exact"/>
              <w:jc w:val="both"/>
            </w:pPr>
          </w:p>
        </w:tc>
        <w:tc>
          <w:tcPr>
            <w:tcW w:w="1376" w:type="dxa"/>
            <w:vMerge/>
            <w:vAlign w:val="center"/>
          </w:tcPr>
          <w:p w14:paraId="2FB955C5" w14:textId="77777777" w:rsidR="00B83E4E" w:rsidRPr="00D1106D" w:rsidRDefault="00B83E4E" w:rsidP="002617F7">
            <w:pPr>
              <w:tabs>
                <w:tab w:val="left" w:leader="dot" w:pos="9072"/>
              </w:tabs>
              <w:spacing w:before="60" w:afterLines="50" w:after="120" w:line="400" w:lineRule="exact"/>
              <w:jc w:val="both"/>
            </w:pPr>
          </w:p>
        </w:tc>
        <w:tc>
          <w:tcPr>
            <w:tcW w:w="1481" w:type="dxa"/>
            <w:vAlign w:val="center"/>
          </w:tcPr>
          <w:p w14:paraId="741C3949" w14:textId="77777777" w:rsidR="00B83E4E" w:rsidRPr="00D1106D" w:rsidRDefault="00B83E4E" w:rsidP="002617F7">
            <w:pPr>
              <w:tabs>
                <w:tab w:val="left" w:leader="dot" w:pos="9072"/>
              </w:tabs>
              <w:spacing w:before="60" w:afterLines="50" w:after="120" w:line="400" w:lineRule="exact"/>
              <w:jc w:val="both"/>
            </w:pPr>
            <w:r w:rsidRPr="00D1106D">
              <w:t>107,72 tỷ</w:t>
            </w:r>
          </w:p>
        </w:tc>
        <w:tc>
          <w:tcPr>
            <w:tcW w:w="1268" w:type="dxa"/>
            <w:vAlign w:val="center"/>
          </w:tcPr>
          <w:p w14:paraId="79CE93BC" w14:textId="77777777" w:rsidR="00B83E4E" w:rsidRPr="00D1106D" w:rsidRDefault="00B83E4E" w:rsidP="002617F7">
            <w:pPr>
              <w:tabs>
                <w:tab w:val="left" w:leader="dot" w:pos="9072"/>
              </w:tabs>
              <w:spacing w:before="60" w:afterLines="50" w:after="120" w:line="400" w:lineRule="exact"/>
              <w:jc w:val="both"/>
            </w:pPr>
            <w:r w:rsidRPr="00D1106D">
              <w:t>3,2 triệu</w:t>
            </w:r>
          </w:p>
        </w:tc>
        <w:tc>
          <w:tcPr>
            <w:tcW w:w="786" w:type="dxa"/>
            <w:vMerge/>
            <w:vAlign w:val="center"/>
          </w:tcPr>
          <w:p w14:paraId="05069AFF" w14:textId="77777777" w:rsidR="00B83E4E" w:rsidRPr="00D1106D" w:rsidRDefault="00B83E4E" w:rsidP="002617F7">
            <w:pPr>
              <w:tabs>
                <w:tab w:val="left" w:leader="dot" w:pos="9072"/>
              </w:tabs>
              <w:spacing w:before="60" w:afterLines="50" w:after="120" w:line="400" w:lineRule="exact"/>
              <w:jc w:val="both"/>
            </w:pPr>
          </w:p>
        </w:tc>
        <w:tc>
          <w:tcPr>
            <w:tcW w:w="1161" w:type="dxa"/>
            <w:vAlign w:val="center"/>
          </w:tcPr>
          <w:p w14:paraId="6974DA50" w14:textId="77777777" w:rsidR="00B83E4E" w:rsidRPr="00D1106D" w:rsidRDefault="00B83E4E" w:rsidP="002617F7">
            <w:pPr>
              <w:tabs>
                <w:tab w:val="left" w:leader="dot" w:pos="9072"/>
              </w:tabs>
              <w:spacing w:before="60" w:afterLines="50" w:after="120" w:line="400" w:lineRule="exact"/>
              <w:jc w:val="center"/>
            </w:pPr>
            <w:r w:rsidRPr="00D1106D">
              <w:t>Tiền mặt</w:t>
            </w:r>
          </w:p>
        </w:tc>
        <w:tc>
          <w:tcPr>
            <w:tcW w:w="2534" w:type="dxa"/>
            <w:vAlign w:val="center"/>
          </w:tcPr>
          <w:p w14:paraId="42E81950" w14:textId="77777777" w:rsidR="00B83E4E" w:rsidRPr="00D1106D" w:rsidRDefault="00B83E4E" w:rsidP="002617F7">
            <w:pPr>
              <w:tabs>
                <w:tab w:val="left" w:leader="dot" w:pos="9072"/>
              </w:tabs>
              <w:spacing w:before="60" w:afterLines="50" w:after="120" w:line="400" w:lineRule="exact"/>
              <w:jc w:val="center"/>
            </w:pPr>
            <w:r w:rsidRPr="00D1106D">
              <w:t>Góp vốn trong vòng 15 ngày làm việc kể từ ngày được UBND tỉnh chấp thuận điều chỉnh chủ trương đầu tư</w:t>
            </w:r>
          </w:p>
        </w:tc>
      </w:tr>
      <w:tr w:rsidR="00B83E4E" w:rsidRPr="00D1106D" w14:paraId="4D3511C9" w14:textId="77777777" w:rsidTr="00C1216B">
        <w:trPr>
          <w:trHeight w:val="942"/>
        </w:trPr>
        <w:tc>
          <w:tcPr>
            <w:tcW w:w="745" w:type="dxa"/>
            <w:vMerge w:val="restart"/>
            <w:vAlign w:val="center"/>
          </w:tcPr>
          <w:p w14:paraId="2A2BAB4D" w14:textId="77777777" w:rsidR="00B83E4E" w:rsidRPr="00D1106D" w:rsidRDefault="00B83E4E" w:rsidP="002617F7">
            <w:pPr>
              <w:tabs>
                <w:tab w:val="left" w:leader="dot" w:pos="9072"/>
              </w:tabs>
              <w:spacing w:before="60" w:afterLines="50" w:after="120" w:line="400" w:lineRule="exact"/>
              <w:jc w:val="both"/>
            </w:pPr>
            <w:r w:rsidRPr="00D1106D">
              <w:lastRenderedPageBreak/>
              <w:t>2</w:t>
            </w:r>
          </w:p>
        </w:tc>
        <w:tc>
          <w:tcPr>
            <w:tcW w:w="1376" w:type="dxa"/>
            <w:vMerge w:val="restart"/>
            <w:vAlign w:val="center"/>
          </w:tcPr>
          <w:p w14:paraId="68577C84" w14:textId="77777777" w:rsidR="00B83E4E" w:rsidRPr="00D1106D" w:rsidRDefault="00B83E4E" w:rsidP="002617F7">
            <w:pPr>
              <w:tabs>
                <w:tab w:val="left" w:leader="dot" w:pos="9072"/>
              </w:tabs>
              <w:spacing w:before="60" w:afterLines="50" w:after="120" w:line="400" w:lineRule="exact"/>
              <w:jc w:val="both"/>
            </w:pPr>
            <w:r w:rsidRPr="00D1106D">
              <w:t>YCH Group (Pte) Ltd</w:t>
            </w:r>
          </w:p>
        </w:tc>
        <w:tc>
          <w:tcPr>
            <w:tcW w:w="1481" w:type="dxa"/>
            <w:vAlign w:val="center"/>
          </w:tcPr>
          <w:p w14:paraId="7F50C218" w14:textId="77777777" w:rsidR="00B83E4E" w:rsidRPr="00D1106D" w:rsidRDefault="00B83E4E" w:rsidP="002617F7">
            <w:pPr>
              <w:tabs>
                <w:tab w:val="left" w:leader="dot" w:pos="9072"/>
              </w:tabs>
              <w:spacing w:before="60" w:afterLines="50" w:after="120" w:line="400" w:lineRule="exact"/>
              <w:jc w:val="both"/>
            </w:pPr>
            <w:r w:rsidRPr="00D1106D">
              <w:t>345,56 tỷ</w:t>
            </w:r>
          </w:p>
        </w:tc>
        <w:tc>
          <w:tcPr>
            <w:tcW w:w="1268" w:type="dxa"/>
            <w:vAlign w:val="center"/>
          </w:tcPr>
          <w:p w14:paraId="5833135F" w14:textId="77777777" w:rsidR="00B83E4E" w:rsidRPr="00D1106D" w:rsidRDefault="00B83E4E" w:rsidP="002617F7">
            <w:pPr>
              <w:tabs>
                <w:tab w:val="left" w:leader="dot" w:pos="9072"/>
              </w:tabs>
              <w:spacing w:before="60" w:afterLines="50" w:after="120" w:line="400" w:lineRule="exact"/>
              <w:jc w:val="both"/>
            </w:pPr>
            <w:r w:rsidRPr="00D1106D">
              <w:t>14,85 triệu</w:t>
            </w:r>
          </w:p>
        </w:tc>
        <w:tc>
          <w:tcPr>
            <w:tcW w:w="786" w:type="dxa"/>
            <w:vMerge w:val="restart"/>
            <w:vAlign w:val="center"/>
          </w:tcPr>
          <w:p w14:paraId="3A7AF8B5" w14:textId="77777777" w:rsidR="00B83E4E" w:rsidRPr="00D1106D" w:rsidRDefault="00B83E4E" w:rsidP="002617F7">
            <w:pPr>
              <w:tabs>
                <w:tab w:val="left" w:leader="dot" w:pos="9072"/>
              </w:tabs>
              <w:spacing w:before="60" w:afterLines="50" w:after="120" w:line="400" w:lineRule="exact"/>
              <w:jc w:val="both"/>
            </w:pPr>
            <w:r w:rsidRPr="00D1106D">
              <w:t>45</w:t>
            </w:r>
          </w:p>
        </w:tc>
        <w:tc>
          <w:tcPr>
            <w:tcW w:w="1161" w:type="dxa"/>
            <w:vMerge w:val="restart"/>
            <w:vAlign w:val="center"/>
          </w:tcPr>
          <w:p w14:paraId="1AA3FF63" w14:textId="77777777" w:rsidR="00B83E4E" w:rsidRPr="00D1106D" w:rsidRDefault="00B83E4E" w:rsidP="002617F7">
            <w:pPr>
              <w:tabs>
                <w:tab w:val="left" w:leader="dot" w:pos="9072"/>
              </w:tabs>
              <w:spacing w:before="60" w:afterLines="50" w:after="120" w:line="400" w:lineRule="exact"/>
              <w:jc w:val="center"/>
            </w:pPr>
            <w:r w:rsidRPr="00D1106D">
              <w:t>Tiền mặt</w:t>
            </w:r>
          </w:p>
        </w:tc>
        <w:tc>
          <w:tcPr>
            <w:tcW w:w="2534" w:type="dxa"/>
            <w:vAlign w:val="center"/>
          </w:tcPr>
          <w:p w14:paraId="20894552" w14:textId="77777777" w:rsidR="00B83E4E" w:rsidRPr="00D1106D" w:rsidRDefault="00B83E4E" w:rsidP="002617F7">
            <w:pPr>
              <w:tabs>
                <w:tab w:val="left" w:leader="dot" w:pos="9072"/>
              </w:tabs>
              <w:spacing w:before="60" w:afterLines="50" w:after="120" w:line="400" w:lineRule="exact"/>
              <w:jc w:val="center"/>
            </w:pPr>
            <w:r w:rsidRPr="00D1106D">
              <w:t>Đã góp đủ</w:t>
            </w:r>
          </w:p>
        </w:tc>
      </w:tr>
      <w:tr w:rsidR="00B83E4E" w:rsidRPr="00D1106D" w14:paraId="6B244DB0" w14:textId="77777777" w:rsidTr="00C1216B">
        <w:tc>
          <w:tcPr>
            <w:tcW w:w="745" w:type="dxa"/>
            <w:vMerge/>
            <w:vAlign w:val="center"/>
          </w:tcPr>
          <w:p w14:paraId="07F8324D" w14:textId="77777777" w:rsidR="00B83E4E" w:rsidRPr="00D1106D" w:rsidRDefault="00B83E4E" w:rsidP="002617F7">
            <w:pPr>
              <w:tabs>
                <w:tab w:val="left" w:leader="dot" w:pos="9072"/>
              </w:tabs>
              <w:spacing w:before="60" w:afterLines="50" w:after="120" w:line="400" w:lineRule="exact"/>
              <w:jc w:val="both"/>
            </w:pPr>
          </w:p>
        </w:tc>
        <w:tc>
          <w:tcPr>
            <w:tcW w:w="1376" w:type="dxa"/>
            <w:vMerge/>
            <w:vAlign w:val="center"/>
          </w:tcPr>
          <w:p w14:paraId="57AE6520" w14:textId="77777777" w:rsidR="00B83E4E" w:rsidRPr="00D1106D" w:rsidRDefault="00B83E4E" w:rsidP="002617F7">
            <w:pPr>
              <w:tabs>
                <w:tab w:val="left" w:leader="dot" w:pos="9072"/>
              </w:tabs>
              <w:spacing w:before="60" w:afterLines="50" w:after="120" w:line="400" w:lineRule="exact"/>
              <w:jc w:val="both"/>
            </w:pPr>
          </w:p>
        </w:tc>
        <w:tc>
          <w:tcPr>
            <w:tcW w:w="1481" w:type="dxa"/>
            <w:vAlign w:val="center"/>
          </w:tcPr>
          <w:p w14:paraId="586A5C75" w14:textId="77777777" w:rsidR="00B83E4E" w:rsidRPr="00D1106D" w:rsidRDefault="00B83E4E" w:rsidP="002617F7">
            <w:pPr>
              <w:tabs>
                <w:tab w:val="left" w:leader="dot" w:pos="9072"/>
              </w:tabs>
              <w:spacing w:before="60" w:afterLines="50" w:after="120" w:line="400" w:lineRule="exact"/>
              <w:jc w:val="both"/>
            </w:pPr>
            <w:r w:rsidRPr="00D1106D">
              <w:t>121,18 tỷ</w:t>
            </w:r>
          </w:p>
        </w:tc>
        <w:tc>
          <w:tcPr>
            <w:tcW w:w="1268" w:type="dxa"/>
            <w:vAlign w:val="center"/>
          </w:tcPr>
          <w:p w14:paraId="0369DA8F" w14:textId="77777777" w:rsidR="00B83E4E" w:rsidRPr="00D1106D" w:rsidRDefault="00B83E4E" w:rsidP="002617F7">
            <w:pPr>
              <w:tabs>
                <w:tab w:val="left" w:leader="dot" w:pos="9072"/>
              </w:tabs>
              <w:spacing w:before="60" w:afterLines="50" w:after="120" w:line="400" w:lineRule="exact"/>
              <w:jc w:val="both"/>
            </w:pPr>
            <w:r w:rsidRPr="00D1106D">
              <w:t>3,6 triệu</w:t>
            </w:r>
          </w:p>
        </w:tc>
        <w:tc>
          <w:tcPr>
            <w:tcW w:w="786" w:type="dxa"/>
            <w:vMerge/>
            <w:vAlign w:val="center"/>
          </w:tcPr>
          <w:p w14:paraId="0EF26290" w14:textId="77777777" w:rsidR="00B83E4E" w:rsidRPr="00D1106D" w:rsidRDefault="00B83E4E" w:rsidP="002617F7">
            <w:pPr>
              <w:tabs>
                <w:tab w:val="left" w:leader="dot" w:pos="9072"/>
              </w:tabs>
              <w:spacing w:before="60" w:afterLines="50" w:after="120" w:line="400" w:lineRule="exact"/>
              <w:jc w:val="both"/>
            </w:pPr>
          </w:p>
        </w:tc>
        <w:tc>
          <w:tcPr>
            <w:tcW w:w="1161" w:type="dxa"/>
            <w:vMerge/>
            <w:vAlign w:val="center"/>
          </w:tcPr>
          <w:p w14:paraId="03BBF426" w14:textId="77777777" w:rsidR="00B83E4E" w:rsidRPr="00D1106D" w:rsidRDefault="00B83E4E" w:rsidP="002617F7">
            <w:pPr>
              <w:tabs>
                <w:tab w:val="left" w:leader="dot" w:pos="9072"/>
              </w:tabs>
              <w:spacing w:before="60" w:afterLines="50" w:after="120" w:line="400" w:lineRule="exact"/>
              <w:jc w:val="center"/>
            </w:pPr>
          </w:p>
        </w:tc>
        <w:tc>
          <w:tcPr>
            <w:tcW w:w="2534" w:type="dxa"/>
            <w:vAlign w:val="center"/>
          </w:tcPr>
          <w:p w14:paraId="5C92145E" w14:textId="77777777" w:rsidR="00B83E4E" w:rsidRPr="00D1106D" w:rsidRDefault="00B83E4E" w:rsidP="002617F7">
            <w:pPr>
              <w:tabs>
                <w:tab w:val="left" w:leader="dot" w:pos="9072"/>
              </w:tabs>
              <w:spacing w:before="60" w:afterLines="50" w:after="120" w:line="400" w:lineRule="exact"/>
              <w:jc w:val="center"/>
            </w:pPr>
            <w:r w:rsidRPr="00D1106D">
              <w:t>Góp vốn trong vòng 15 ngày làm việc kể từ ngày được UBND tỉnh chấp thuận điều chỉnh chủ trương đầu tư</w:t>
            </w:r>
          </w:p>
        </w:tc>
      </w:tr>
      <w:tr w:rsidR="00B83E4E" w:rsidRPr="00D1106D" w14:paraId="7994D640" w14:textId="77777777" w:rsidTr="00C1216B">
        <w:trPr>
          <w:trHeight w:val="949"/>
        </w:trPr>
        <w:tc>
          <w:tcPr>
            <w:tcW w:w="745" w:type="dxa"/>
            <w:vMerge w:val="restart"/>
            <w:vAlign w:val="center"/>
          </w:tcPr>
          <w:p w14:paraId="6AC53639" w14:textId="77777777" w:rsidR="00B83E4E" w:rsidRPr="00D1106D" w:rsidRDefault="00B83E4E" w:rsidP="002617F7">
            <w:pPr>
              <w:tabs>
                <w:tab w:val="left" w:leader="dot" w:pos="9072"/>
              </w:tabs>
              <w:spacing w:before="60" w:afterLines="50" w:after="120" w:line="400" w:lineRule="exact"/>
              <w:jc w:val="both"/>
            </w:pPr>
            <w:r w:rsidRPr="00D1106D">
              <w:t>3</w:t>
            </w:r>
          </w:p>
        </w:tc>
        <w:tc>
          <w:tcPr>
            <w:tcW w:w="1376" w:type="dxa"/>
            <w:vMerge w:val="restart"/>
            <w:vAlign w:val="center"/>
          </w:tcPr>
          <w:p w14:paraId="2ABE0818" w14:textId="77777777" w:rsidR="00B83E4E" w:rsidRPr="00D1106D" w:rsidRDefault="00B83E4E" w:rsidP="002617F7">
            <w:pPr>
              <w:tabs>
                <w:tab w:val="left" w:leader="dot" w:pos="9072"/>
              </w:tabs>
              <w:spacing w:before="60" w:afterLines="50" w:after="120" w:line="400" w:lineRule="exact"/>
              <w:jc w:val="both"/>
            </w:pPr>
            <w:r w:rsidRPr="00D1106D">
              <w:t>YCH Holding (Pte) Ltd</w:t>
            </w:r>
          </w:p>
        </w:tc>
        <w:tc>
          <w:tcPr>
            <w:tcW w:w="1481" w:type="dxa"/>
            <w:vAlign w:val="center"/>
          </w:tcPr>
          <w:p w14:paraId="57493D09" w14:textId="77777777" w:rsidR="00B83E4E" w:rsidRPr="00D1106D" w:rsidRDefault="00B83E4E" w:rsidP="002617F7">
            <w:pPr>
              <w:tabs>
                <w:tab w:val="left" w:leader="dot" w:pos="9072"/>
              </w:tabs>
              <w:spacing w:before="60" w:afterLines="50" w:after="120" w:line="400" w:lineRule="exact"/>
              <w:jc w:val="both"/>
            </w:pPr>
            <w:r w:rsidRPr="00D1106D">
              <w:t>115,19 tỷ</w:t>
            </w:r>
          </w:p>
        </w:tc>
        <w:tc>
          <w:tcPr>
            <w:tcW w:w="1268" w:type="dxa"/>
            <w:vAlign w:val="center"/>
          </w:tcPr>
          <w:p w14:paraId="2FB76494" w14:textId="77777777" w:rsidR="00B83E4E" w:rsidRPr="00D1106D" w:rsidRDefault="00B83E4E" w:rsidP="002617F7">
            <w:pPr>
              <w:tabs>
                <w:tab w:val="left" w:leader="dot" w:pos="9072"/>
              </w:tabs>
              <w:spacing w:before="60" w:afterLines="50" w:after="120" w:line="400" w:lineRule="exact"/>
              <w:jc w:val="both"/>
            </w:pPr>
            <w:r w:rsidRPr="00D1106D">
              <w:t>4,95 triệu</w:t>
            </w:r>
          </w:p>
        </w:tc>
        <w:tc>
          <w:tcPr>
            <w:tcW w:w="786" w:type="dxa"/>
            <w:vMerge w:val="restart"/>
            <w:vAlign w:val="center"/>
          </w:tcPr>
          <w:p w14:paraId="299A413B" w14:textId="77777777" w:rsidR="00B83E4E" w:rsidRPr="00D1106D" w:rsidRDefault="00B83E4E" w:rsidP="002617F7">
            <w:pPr>
              <w:tabs>
                <w:tab w:val="left" w:leader="dot" w:pos="9072"/>
              </w:tabs>
              <w:spacing w:before="60" w:afterLines="50" w:after="120" w:line="400" w:lineRule="exact"/>
              <w:jc w:val="both"/>
            </w:pPr>
            <w:r w:rsidRPr="00D1106D">
              <w:t>15</w:t>
            </w:r>
          </w:p>
        </w:tc>
        <w:tc>
          <w:tcPr>
            <w:tcW w:w="1161" w:type="dxa"/>
            <w:vMerge w:val="restart"/>
            <w:vAlign w:val="center"/>
          </w:tcPr>
          <w:p w14:paraId="1DC54881" w14:textId="77777777" w:rsidR="00B83E4E" w:rsidRPr="00D1106D" w:rsidRDefault="00B83E4E" w:rsidP="002617F7">
            <w:pPr>
              <w:tabs>
                <w:tab w:val="left" w:leader="dot" w:pos="9072"/>
              </w:tabs>
              <w:spacing w:before="60" w:afterLines="50" w:after="120" w:line="400" w:lineRule="exact"/>
              <w:jc w:val="center"/>
            </w:pPr>
            <w:r w:rsidRPr="00D1106D">
              <w:t>Tiền mặt</w:t>
            </w:r>
          </w:p>
        </w:tc>
        <w:tc>
          <w:tcPr>
            <w:tcW w:w="2534" w:type="dxa"/>
            <w:vAlign w:val="center"/>
          </w:tcPr>
          <w:p w14:paraId="347B4F10" w14:textId="77777777" w:rsidR="00B83E4E" w:rsidRPr="00D1106D" w:rsidRDefault="00B83E4E" w:rsidP="002617F7">
            <w:pPr>
              <w:tabs>
                <w:tab w:val="left" w:leader="dot" w:pos="9072"/>
              </w:tabs>
              <w:spacing w:before="60" w:afterLines="50" w:after="120" w:line="400" w:lineRule="exact"/>
              <w:jc w:val="center"/>
            </w:pPr>
            <w:r w:rsidRPr="00D1106D">
              <w:t>Đã góp đủ</w:t>
            </w:r>
          </w:p>
        </w:tc>
      </w:tr>
      <w:tr w:rsidR="00B83E4E" w:rsidRPr="00D1106D" w14:paraId="1012B21A" w14:textId="77777777" w:rsidTr="00C1216B">
        <w:tc>
          <w:tcPr>
            <w:tcW w:w="745" w:type="dxa"/>
            <w:vMerge/>
            <w:vAlign w:val="center"/>
          </w:tcPr>
          <w:p w14:paraId="5DEC535A" w14:textId="77777777" w:rsidR="00B83E4E" w:rsidRPr="00D1106D" w:rsidRDefault="00B83E4E" w:rsidP="002617F7">
            <w:pPr>
              <w:tabs>
                <w:tab w:val="left" w:leader="dot" w:pos="9072"/>
              </w:tabs>
              <w:spacing w:before="60" w:afterLines="50" w:after="120" w:line="400" w:lineRule="exact"/>
              <w:jc w:val="both"/>
            </w:pPr>
          </w:p>
        </w:tc>
        <w:tc>
          <w:tcPr>
            <w:tcW w:w="1376" w:type="dxa"/>
            <w:vMerge/>
            <w:vAlign w:val="center"/>
          </w:tcPr>
          <w:p w14:paraId="4E469882" w14:textId="77777777" w:rsidR="00B83E4E" w:rsidRPr="00D1106D" w:rsidRDefault="00B83E4E" w:rsidP="002617F7">
            <w:pPr>
              <w:tabs>
                <w:tab w:val="left" w:leader="dot" w:pos="9072"/>
              </w:tabs>
              <w:spacing w:before="60" w:afterLines="50" w:after="120" w:line="400" w:lineRule="exact"/>
              <w:jc w:val="both"/>
            </w:pPr>
          </w:p>
        </w:tc>
        <w:tc>
          <w:tcPr>
            <w:tcW w:w="1481" w:type="dxa"/>
            <w:vAlign w:val="center"/>
          </w:tcPr>
          <w:p w14:paraId="055593E3" w14:textId="77777777" w:rsidR="00B83E4E" w:rsidRPr="00D1106D" w:rsidRDefault="00B83E4E" w:rsidP="002617F7">
            <w:pPr>
              <w:tabs>
                <w:tab w:val="left" w:leader="dot" w:pos="9072"/>
              </w:tabs>
              <w:spacing w:before="60" w:afterLines="50" w:after="120" w:line="400" w:lineRule="exact"/>
              <w:jc w:val="both"/>
            </w:pPr>
            <w:r w:rsidRPr="00D1106D">
              <w:t>40,39 tỷ</w:t>
            </w:r>
          </w:p>
        </w:tc>
        <w:tc>
          <w:tcPr>
            <w:tcW w:w="1268" w:type="dxa"/>
            <w:vAlign w:val="center"/>
          </w:tcPr>
          <w:p w14:paraId="3F172B14" w14:textId="77777777" w:rsidR="00B83E4E" w:rsidRPr="00D1106D" w:rsidRDefault="00B83E4E" w:rsidP="002617F7">
            <w:pPr>
              <w:tabs>
                <w:tab w:val="left" w:leader="dot" w:pos="9072"/>
              </w:tabs>
              <w:spacing w:before="60" w:afterLines="50" w:after="120" w:line="400" w:lineRule="exact"/>
              <w:jc w:val="both"/>
            </w:pPr>
            <w:r w:rsidRPr="00D1106D">
              <w:t>1,2 triệu</w:t>
            </w:r>
          </w:p>
        </w:tc>
        <w:tc>
          <w:tcPr>
            <w:tcW w:w="786" w:type="dxa"/>
            <w:vMerge/>
            <w:vAlign w:val="center"/>
          </w:tcPr>
          <w:p w14:paraId="76DC8045" w14:textId="77777777" w:rsidR="00B83E4E" w:rsidRPr="00D1106D" w:rsidRDefault="00B83E4E" w:rsidP="002617F7">
            <w:pPr>
              <w:tabs>
                <w:tab w:val="left" w:leader="dot" w:pos="9072"/>
              </w:tabs>
              <w:spacing w:before="60" w:afterLines="50" w:after="120" w:line="400" w:lineRule="exact"/>
              <w:jc w:val="both"/>
            </w:pPr>
          </w:p>
        </w:tc>
        <w:tc>
          <w:tcPr>
            <w:tcW w:w="1161" w:type="dxa"/>
            <w:vMerge/>
            <w:vAlign w:val="center"/>
          </w:tcPr>
          <w:p w14:paraId="0431C763" w14:textId="77777777" w:rsidR="00B83E4E" w:rsidRPr="00D1106D" w:rsidRDefault="00B83E4E" w:rsidP="002617F7">
            <w:pPr>
              <w:tabs>
                <w:tab w:val="left" w:leader="dot" w:pos="9072"/>
              </w:tabs>
              <w:spacing w:before="60" w:afterLines="50" w:after="120" w:line="400" w:lineRule="exact"/>
              <w:jc w:val="center"/>
            </w:pPr>
          </w:p>
        </w:tc>
        <w:tc>
          <w:tcPr>
            <w:tcW w:w="2534" w:type="dxa"/>
            <w:vAlign w:val="center"/>
          </w:tcPr>
          <w:p w14:paraId="04BADF3C" w14:textId="77777777" w:rsidR="00B83E4E" w:rsidRPr="00D1106D" w:rsidRDefault="00B83E4E" w:rsidP="002617F7">
            <w:pPr>
              <w:tabs>
                <w:tab w:val="left" w:leader="dot" w:pos="9072"/>
              </w:tabs>
              <w:spacing w:before="60" w:afterLines="50" w:after="120" w:line="400" w:lineRule="exact"/>
              <w:jc w:val="center"/>
            </w:pPr>
            <w:r w:rsidRPr="00D1106D">
              <w:t>Góp vốn trong vòng 15 ngày làm việc kể từ ngày được UBND tỉnh chấp thuận điều chỉnh chủ trương đầu tư</w:t>
            </w:r>
          </w:p>
        </w:tc>
      </w:tr>
    </w:tbl>
    <w:p w14:paraId="234F0DB1" w14:textId="6765FC0E" w:rsidR="00F73F5C" w:rsidRPr="00207324" w:rsidRDefault="00F73F5C" w:rsidP="002617F7">
      <w:pPr>
        <w:pStyle w:val="BodyText"/>
        <w:spacing w:before="60" w:after="60" w:line="400" w:lineRule="exact"/>
        <w:ind w:firstLine="720"/>
        <w:rPr>
          <w:rStyle w:val="fontstyle01"/>
          <w:sz w:val="28"/>
          <w:szCs w:val="28"/>
          <w:lang w:val="nb-NO"/>
        </w:rPr>
      </w:pPr>
      <w:r w:rsidRPr="00D1106D">
        <w:rPr>
          <w:lang w:val="nb-NO"/>
        </w:rPr>
        <w:t>- Vốn huy động (dự kiến):</w:t>
      </w:r>
    </w:p>
    <w:tbl>
      <w:tblPr>
        <w:tblW w:w="50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03"/>
        <w:gridCol w:w="980"/>
        <w:gridCol w:w="1220"/>
        <w:gridCol w:w="1291"/>
        <w:gridCol w:w="1291"/>
        <w:gridCol w:w="1293"/>
        <w:gridCol w:w="1421"/>
        <w:gridCol w:w="1160"/>
      </w:tblGrid>
      <w:tr w:rsidR="00F73F5C" w:rsidRPr="00D1106D" w14:paraId="036A4BDF" w14:textId="77777777" w:rsidTr="000027AC">
        <w:tc>
          <w:tcPr>
            <w:tcW w:w="274" w:type="pct"/>
            <w:vMerge w:val="restart"/>
            <w:shd w:val="clear" w:color="auto" w:fill="auto"/>
            <w:vAlign w:val="center"/>
          </w:tcPr>
          <w:p w14:paraId="2ACD02F6" w14:textId="77777777" w:rsidR="00F73F5C" w:rsidRPr="00D1106D" w:rsidRDefault="00F73F5C" w:rsidP="002617F7">
            <w:pPr>
              <w:tabs>
                <w:tab w:val="left" w:leader="dot" w:pos="9072"/>
              </w:tabs>
              <w:spacing w:before="60" w:after="60" w:line="400" w:lineRule="exact"/>
              <w:jc w:val="center"/>
              <w:rPr>
                <w:lang w:val="nb-NO"/>
              </w:rPr>
            </w:pPr>
            <w:r w:rsidRPr="00D1106D">
              <w:rPr>
                <w:lang w:val="nb-NO"/>
              </w:rPr>
              <w:t>TT</w:t>
            </w:r>
          </w:p>
        </w:tc>
        <w:tc>
          <w:tcPr>
            <w:tcW w:w="535" w:type="pct"/>
            <w:vMerge w:val="restart"/>
            <w:shd w:val="clear" w:color="auto" w:fill="auto"/>
            <w:vAlign w:val="center"/>
          </w:tcPr>
          <w:p w14:paraId="15F77209" w14:textId="77777777" w:rsidR="00F73F5C" w:rsidRPr="00D1106D" w:rsidRDefault="00F73F5C" w:rsidP="002617F7">
            <w:pPr>
              <w:tabs>
                <w:tab w:val="left" w:leader="dot" w:pos="9072"/>
              </w:tabs>
              <w:spacing w:before="60" w:after="60" w:line="400" w:lineRule="exact"/>
              <w:jc w:val="center"/>
              <w:rPr>
                <w:lang w:val="nb-NO"/>
              </w:rPr>
            </w:pPr>
            <w:r w:rsidRPr="00D1106D">
              <w:rPr>
                <w:lang w:val="nb-NO"/>
              </w:rPr>
              <w:t>Vốn vay</w:t>
            </w:r>
          </w:p>
        </w:tc>
        <w:tc>
          <w:tcPr>
            <w:tcW w:w="3558" w:type="pct"/>
            <w:gridSpan w:val="5"/>
            <w:shd w:val="clear" w:color="auto" w:fill="auto"/>
            <w:vAlign w:val="center"/>
          </w:tcPr>
          <w:p w14:paraId="50DE6E81" w14:textId="77777777" w:rsidR="00F73F5C" w:rsidRPr="00D1106D" w:rsidRDefault="00F73F5C" w:rsidP="002617F7">
            <w:pPr>
              <w:tabs>
                <w:tab w:val="left" w:leader="dot" w:pos="9072"/>
              </w:tabs>
              <w:spacing w:before="60" w:after="60" w:line="400" w:lineRule="exact"/>
              <w:jc w:val="center"/>
              <w:rPr>
                <w:lang w:val="nb-NO"/>
              </w:rPr>
            </w:pPr>
            <w:r w:rsidRPr="00D1106D">
              <w:rPr>
                <w:lang w:val="nb-NO"/>
              </w:rPr>
              <w:t>Số vốn vay (tỷ đồng)</w:t>
            </w:r>
          </w:p>
        </w:tc>
        <w:tc>
          <w:tcPr>
            <w:tcW w:w="633" w:type="pct"/>
            <w:vMerge w:val="restart"/>
            <w:shd w:val="clear" w:color="auto" w:fill="auto"/>
            <w:vAlign w:val="center"/>
          </w:tcPr>
          <w:p w14:paraId="00421D4A" w14:textId="77777777" w:rsidR="00F73F5C" w:rsidRPr="00D1106D" w:rsidRDefault="00F73F5C" w:rsidP="002617F7">
            <w:pPr>
              <w:tabs>
                <w:tab w:val="left" w:leader="dot" w:pos="9072"/>
              </w:tabs>
              <w:spacing w:before="60" w:after="60" w:line="400" w:lineRule="exact"/>
              <w:jc w:val="center"/>
              <w:rPr>
                <w:lang w:val="nb-NO"/>
              </w:rPr>
            </w:pPr>
            <w:r w:rsidRPr="00D1106D">
              <w:rPr>
                <w:lang w:val="nb-NO"/>
              </w:rPr>
              <w:t>Thời gian vay</w:t>
            </w:r>
          </w:p>
        </w:tc>
      </w:tr>
      <w:tr w:rsidR="00F73F5C" w:rsidRPr="00D1106D" w14:paraId="6936A24B" w14:textId="77777777" w:rsidTr="000027AC">
        <w:tc>
          <w:tcPr>
            <w:tcW w:w="274" w:type="pct"/>
            <w:vMerge/>
            <w:shd w:val="clear" w:color="auto" w:fill="auto"/>
            <w:vAlign w:val="center"/>
          </w:tcPr>
          <w:p w14:paraId="1FED4F08" w14:textId="77777777" w:rsidR="00F73F5C" w:rsidRPr="00D1106D" w:rsidRDefault="00F73F5C" w:rsidP="002617F7">
            <w:pPr>
              <w:tabs>
                <w:tab w:val="left" w:leader="dot" w:pos="9072"/>
              </w:tabs>
              <w:spacing w:before="60" w:after="60" w:line="400" w:lineRule="exact"/>
              <w:jc w:val="center"/>
              <w:rPr>
                <w:lang w:val="nb-NO"/>
              </w:rPr>
            </w:pPr>
          </w:p>
        </w:tc>
        <w:tc>
          <w:tcPr>
            <w:tcW w:w="535" w:type="pct"/>
            <w:vMerge/>
            <w:shd w:val="clear" w:color="auto" w:fill="auto"/>
            <w:vAlign w:val="center"/>
          </w:tcPr>
          <w:p w14:paraId="6DFD9D69" w14:textId="77777777" w:rsidR="00F73F5C" w:rsidRPr="00D1106D" w:rsidRDefault="00F73F5C" w:rsidP="002617F7">
            <w:pPr>
              <w:tabs>
                <w:tab w:val="left" w:leader="dot" w:pos="9072"/>
              </w:tabs>
              <w:spacing w:before="60" w:after="60" w:line="400" w:lineRule="exact"/>
              <w:jc w:val="center"/>
              <w:rPr>
                <w:lang w:val="nb-NO"/>
              </w:rPr>
            </w:pPr>
          </w:p>
        </w:tc>
        <w:tc>
          <w:tcPr>
            <w:tcW w:w="666" w:type="pct"/>
            <w:shd w:val="clear" w:color="auto" w:fill="auto"/>
            <w:vAlign w:val="center"/>
          </w:tcPr>
          <w:p w14:paraId="358CC54F" w14:textId="77777777" w:rsidR="00F73F5C" w:rsidRPr="00D1106D" w:rsidRDefault="00F73F5C" w:rsidP="002617F7">
            <w:pPr>
              <w:tabs>
                <w:tab w:val="left" w:leader="dot" w:pos="9072"/>
              </w:tabs>
              <w:spacing w:before="60" w:after="60" w:line="400" w:lineRule="exact"/>
              <w:jc w:val="center"/>
              <w:rPr>
                <w:lang w:val="nb-NO"/>
              </w:rPr>
            </w:pPr>
            <w:r w:rsidRPr="00D1106D">
              <w:rPr>
                <w:lang w:val="nb-NO"/>
              </w:rPr>
              <w:t>Giai đoạn 1</w:t>
            </w:r>
          </w:p>
        </w:tc>
        <w:tc>
          <w:tcPr>
            <w:tcW w:w="705" w:type="pct"/>
            <w:shd w:val="clear" w:color="auto" w:fill="auto"/>
            <w:vAlign w:val="center"/>
          </w:tcPr>
          <w:p w14:paraId="747A492E" w14:textId="77777777" w:rsidR="00F73F5C" w:rsidRPr="00D1106D" w:rsidRDefault="00F73F5C" w:rsidP="002617F7">
            <w:pPr>
              <w:tabs>
                <w:tab w:val="left" w:leader="dot" w:pos="9072"/>
              </w:tabs>
              <w:spacing w:before="60" w:after="60" w:line="400" w:lineRule="exact"/>
              <w:jc w:val="center"/>
              <w:rPr>
                <w:lang w:val="nb-NO"/>
              </w:rPr>
            </w:pPr>
            <w:r w:rsidRPr="00D1106D">
              <w:rPr>
                <w:lang w:val="nb-NO"/>
              </w:rPr>
              <w:t>Giai đoạn 2</w:t>
            </w:r>
          </w:p>
        </w:tc>
        <w:tc>
          <w:tcPr>
            <w:tcW w:w="705" w:type="pct"/>
            <w:vAlign w:val="center"/>
          </w:tcPr>
          <w:p w14:paraId="12564F9E" w14:textId="77777777" w:rsidR="00F73F5C" w:rsidRPr="00D1106D" w:rsidRDefault="00F73F5C" w:rsidP="002617F7">
            <w:pPr>
              <w:tabs>
                <w:tab w:val="left" w:leader="dot" w:pos="9072"/>
              </w:tabs>
              <w:spacing w:before="60" w:after="60" w:line="400" w:lineRule="exact"/>
              <w:jc w:val="center"/>
              <w:rPr>
                <w:lang w:val="nb-NO"/>
              </w:rPr>
            </w:pPr>
            <w:r w:rsidRPr="00D1106D">
              <w:rPr>
                <w:lang w:val="nb-NO"/>
              </w:rPr>
              <w:t>Giai đoạn 3</w:t>
            </w:r>
          </w:p>
        </w:tc>
        <w:tc>
          <w:tcPr>
            <w:tcW w:w="706" w:type="pct"/>
            <w:vAlign w:val="center"/>
          </w:tcPr>
          <w:p w14:paraId="14391513" w14:textId="77777777" w:rsidR="00F73F5C" w:rsidRPr="00D1106D" w:rsidRDefault="00F73F5C" w:rsidP="002617F7">
            <w:pPr>
              <w:tabs>
                <w:tab w:val="left" w:leader="dot" w:pos="9072"/>
              </w:tabs>
              <w:spacing w:before="60" w:after="60" w:line="400" w:lineRule="exact"/>
              <w:jc w:val="center"/>
              <w:rPr>
                <w:lang w:val="nb-NO"/>
              </w:rPr>
            </w:pPr>
            <w:r w:rsidRPr="00D1106D">
              <w:rPr>
                <w:lang w:val="nb-NO"/>
              </w:rPr>
              <w:t>Giai đoạn 4</w:t>
            </w:r>
          </w:p>
        </w:tc>
        <w:tc>
          <w:tcPr>
            <w:tcW w:w="776" w:type="pct"/>
            <w:vAlign w:val="center"/>
          </w:tcPr>
          <w:p w14:paraId="6CEA47FA" w14:textId="77777777" w:rsidR="00F73F5C" w:rsidRPr="00D1106D" w:rsidRDefault="00F73F5C" w:rsidP="002617F7">
            <w:pPr>
              <w:tabs>
                <w:tab w:val="left" w:leader="dot" w:pos="9072"/>
              </w:tabs>
              <w:spacing w:before="60" w:after="60" w:line="400" w:lineRule="exact"/>
              <w:jc w:val="center"/>
              <w:rPr>
                <w:lang w:val="nb-NO"/>
              </w:rPr>
            </w:pPr>
            <w:r w:rsidRPr="00D1106D">
              <w:rPr>
                <w:lang w:val="nb-NO"/>
              </w:rPr>
              <w:t>Tổng các GĐ</w:t>
            </w:r>
          </w:p>
        </w:tc>
        <w:tc>
          <w:tcPr>
            <w:tcW w:w="633" w:type="pct"/>
            <w:vMerge/>
            <w:shd w:val="clear" w:color="auto" w:fill="auto"/>
            <w:vAlign w:val="center"/>
          </w:tcPr>
          <w:p w14:paraId="72D825FF" w14:textId="77777777" w:rsidR="00F73F5C" w:rsidRPr="00D1106D" w:rsidRDefault="00F73F5C" w:rsidP="002617F7">
            <w:pPr>
              <w:tabs>
                <w:tab w:val="left" w:leader="dot" w:pos="9072"/>
              </w:tabs>
              <w:spacing w:before="60" w:after="60" w:line="400" w:lineRule="exact"/>
              <w:jc w:val="center"/>
              <w:rPr>
                <w:lang w:val="nb-NO"/>
              </w:rPr>
            </w:pPr>
          </w:p>
        </w:tc>
      </w:tr>
      <w:tr w:rsidR="00F73F5C" w:rsidRPr="00207324" w14:paraId="7B277242" w14:textId="77777777" w:rsidTr="000027AC">
        <w:tc>
          <w:tcPr>
            <w:tcW w:w="274" w:type="pct"/>
            <w:shd w:val="clear" w:color="auto" w:fill="auto"/>
            <w:vAlign w:val="center"/>
          </w:tcPr>
          <w:p w14:paraId="6FFCFE6B" w14:textId="77777777" w:rsidR="00F73F5C" w:rsidRPr="00D1106D" w:rsidRDefault="00F73F5C" w:rsidP="002617F7">
            <w:pPr>
              <w:tabs>
                <w:tab w:val="left" w:leader="dot" w:pos="9072"/>
              </w:tabs>
              <w:spacing w:before="60" w:after="60" w:line="400" w:lineRule="exact"/>
              <w:jc w:val="center"/>
              <w:rPr>
                <w:lang w:val="nb-NO"/>
              </w:rPr>
            </w:pPr>
          </w:p>
          <w:p w14:paraId="57B953A5" w14:textId="77777777" w:rsidR="00F73F5C" w:rsidRPr="00D1106D" w:rsidRDefault="00F73F5C" w:rsidP="002617F7">
            <w:pPr>
              <w:tabs>
                <w:tab w:val="left" w:leader="dot" w:pos="9072"/>
              </w:tabs>
              <w:spacing w:before="60" w:after="60" w:line="400" w:lineRule="exact"/>
              <w:jc w:val="center"/>
              <w:rPr>
                <w:lang w:val="nb-NO"/>
              </w:rPr>
            </w:pPr>
            <w:r w:rsidRPr="00D1106D">
              <w:rPr>
                <w:lang w:val="nb-NO"/>
              </w:rPr>
              <w:t>1</w:t>
            </w:r>
          </w:p>
        </w:tc>
        <w:tc>
          <w:tcPr>
            <w:tcW w:w="535" w:type="pct"/>
            <w:shd w:val="clear" w:color="auto" w:fill="auto"/>
            <w:vAlign w:val="center"/>
          </w:tcPr>
          <w:p w14:paraId="7BCAB5AF" w14:textId="77777777" w:rsidR="00F73F5C" w:rsidRPr="00D1106D" w:rsidRDefault="00F73F5C" w:rsidP="002617F7">
            <w:pPr>
              <w:tabs>
                <w:tab w:val="left" w:leader="dot" w:pos="9072"/>
              </w:tabs>
              <w:spacing w:before="60" w:after="60" w:line="400" w:lineRule="exact"/>
              <w:jc w:val="center"/>
              <w:rPr>
                <w:lang w:val="nb-NO"/>
              </w:rPr>
            </w:pPr>
            <w:r w:rsidRPr="00D1106D">
              <w:rPr>
                <w:lang w:val="nb-NO"/>
              </w:rPr>
              <w:t>Vay ngân hàng</w:t>
            </w:r>
          </w:p>
        </w:tc>
        <w:tc>
          <w:tcPr>
            <w:tcW w:w="666" w:type="pct"/>
            <w:shd w:val="clear" w:color="auto" w:fill="auto"/>
            <w:vAlign w:val="center"/>
          </w:tcPr>
          <w:p w14:paraId="2AA8E520" w14:textId="41AF3A29" w:rsidR="00F73F5C" w:rsidRPr="00D1106D" w:rsidRDefault="00F73F5C" w:rsidP="002617F7">
            <w:pPr>
              <w:tabs>
                <w:tab w:val="left" w:leader="dot" w:pos="9072"/>
              </w:tabs>
              <w:spacing w:before="60" w:after="60" w:line="400" w:lineRule="exact"/>
              <w:jc w:val="center"/>
              <w:rPr>
                <w:lang w:val="nb-NO"/>
              </w:rPr>
            </w:pPr>
            <w:r w:rsidRPr="00D1106D">
              <w:rPr>
                <w:lang w:val="nb-NO"/>
              </w:rPr>
              <w:t>330</w:t>
            </w:r>
            <w:r w:rsidR="002F7E5A">
              <w:rPr>
                <w:lang w:val="nb-NO"/>
              </w:rPr>
              <w:t>,2</w:t>
            </w:r>
          </w:p>
        </w:tc>
        <w:tc>
          <w:tcPr>
            <w:tcW w:w="705" w:type="pct"/>
            <w:shd w:val="clear" w:color="auto" w:fill="auto"/>
            <w:vAlign w:val="center"/>
          </w:tcPr>
          <w:p w14:paraId="2C6ABB7E" w14:textId="77777777" w:rsidR="00F73F5C" w:rsidRPr="00D1106D" w:rsidRDefault="00F73F5C" w:rsidP="002617F7">
            <w:pPr>
              <w:tabs>
                <w:tab w:val="left" w:leader="dot" w:pos="9072"/>
              </w:tabs>
              <w:spacing w:before="60" w:after="60" w:line="400" w:lineRule="exact"/>
              <w:jc w:val="center"/>
              <w:rPr>
                <w:lang w:val="nb-NO"/>
              </w:rPr>
            </w:pPr>
            <w:r w:rsidRPr="00D1106D">
              <w:rPr>
                <w:lang w:val="nb-NO"/>
              </w:rPr>
              <w:t>671,7</w:t>
            </w:r>
          </w:p>
        </w:tc>
        <w:tc>
          <w:tcPr>
            <w:tcW w:w="705" w:type="pct"/>
            <w:vAlign w:val="center"/>
          </w:tcPr>
          <w:p w14:paraId="15A79376" w14:textId="77777777" w:rsidR="00F73F5C" w:rsidRPr="00D1106D" w:rsidRDefault="00F73F5C" w:rsidP="002617F7">
            <w:pPr>
              <w:tabs>
                <w:tab w:val="left" w:leader="dot" w:pos="9072"/>
              </w:tabs>
              <w:spacing w:before="60" w:after="60" w:line="400" w:lineRule="exact"/>
              <w:jc w:val="center"/>
              <w:rPr>
                <w:lang w:val="nb-NO"/>
              </w:rPr>
            </w:pPr>
            <w:r w:rsidRPr="00D1106D">
              <w:rPr>
                <w:lang w:val="nb-NO"/>
              </w:rPr>
              <w:t>461,2</w:t>
            </w:r>
          </w:p>
        </w:tc>
        <w:tc>
          <w:tcPr>
            <w:tcW w:w="706" w:type="pct"/>
            <w:vAlign w:val="center"/>
          </w:tcPr>
          <w:p w14:paraId="58D0E2AB" w14:textId="77777777" w:rsidR="00F73F5C" w:rsidRPr="00D1106D" w:rsidRDefault="00F73F5C" w:rsidP="002617F7">
            <w:pPr>
              <w:tabs>
                <w:tab w:val="left" w:leader="dot" w:pos="9072"/>
              </w:tabs>
              <w:spacing w:before="60" w:after="60" w:line="400" w:lineRule="exact"/>
              <w:jc w:val="center"/>
              <w:rPr>
                <w:lang w:val="nb-NO"/>
              </w:rPr>
            </w:pPr>
            <w:r w:rsidRPr="00D1106D">
              <w:rPr>
                <w:lang w:val="nb-NO"/>
              </w:rPr>
              <w:t>4.414,1</w:t>
            </w:r>
          </w:p>
        </w:tc>
        <w:tc>
          <w:tcPr>
            <w:tcW w:w="776" w:type="pct"/>
            <w:vAlign w:val="center"/>
          </w:tcPr>
          <w:p w14:paraId="60949AED" w14:textId="779FFFAF" w:rsidR="00F73F5C" w:rsidRPr="00D1106D" w:rsidRDefault="00F73F5C" w:rsidP="002617F7">
            <w:pPr>
              <w:tabs>
                <w:tab w:val="left" w:leader="dot" w:pos="9072"/>
              </w:tabs>
              <w:spacing w:before="60" w:after="60" w:line="400" w:lineRule="exact"/>
              <w:jc w:val="center"/>
              <w:rPr>
                <w:lang w:val="nb-NO"/>
              </w:rPr>
            </w:pPr>
            <w:r w:rsidRPr="00D1106D">
              <w:rPr>
                <w:lang w:val="nb-NO"/>
              </w:rPr>
              <w:t>5.877</w:t>
            </w:r>
            <w:r w:rsidR="002F7E5A">
              <w:rPr>
                <w:lang w:val="nb-NO"/>
              </w:rPr>
              <w:t>,2</w:t>
            </w:r>
          </w:p>
        </w:tc>
        <w:tc>
          <w:tcPr>
            <w:tcW w:w="633" w:type="pct"/>
            <w:shd w:val="clear" w:color="auto" w:fill="auto"/>
            <w:vAlign w:val="center"/>
          </w:tcPr>
          <w:p w14:paraId="40086A03" w14:textId="77777777" w:rsidR="00F73F5C" w:rsidRPr="00D1106D" w:rsidRDefault="00F73F5C" w:rsidP="002617F7">
            <w:pPr>
              <w:tabs>
                <w:tab w:val="left" w:leader="dot" w:pos="9072"/>
              </w:tabs>
              <w:spacing w:before="60" w:after="60" w:line="400" w:lineRule="exact"/>
              <w:jc w:val="center"/>
              <w:rPr>
                <w:lang w:val="nb-NO"/>
              </w:rPr>
            </w:pPr>
            <w:r w:rsidRPr="00D1106D">
              <w:rPr>
                <w:lang w:val="nb-NO"/>
              </w:rPr>
              <w:t>Theo tiến độ đầu tư các Giai đoạn</w:t>
            </w:r>
          </w:p>
          <w:p w14:paraId="1DD7CEDB" w14:textId="77777777" w:rsidR="00F73F5C" w:rsidRPr="00D1106D" w:rsidRDefault="00F73F5C" w:rsidP="002617F7">
            <w:pPr>
              <w:tabs>
                <w:tab w:val="left" w:leader="dot" w:pos="9072"/>
              </w:tabs>
              <w:spacing w:before="60" w:after="60" w:line="400" w:lineRule="exact"/>
              <w:jc w:val="center"/>
              <w:rPr>
                <w:lang w:val="nb-NO"/>
              </w:rPr>
            </w:pPr>
          </w:p>
        </w:tc>
      </w:tr>
    </w:tbl>
    <w:p w14:paraId="335751DA" w14:textId="77777777" w:rsidR="00F73F5C" w:rsidRPr="00207324" w:rsidRDefault="00F73F5C" w:rsidP="002617F7">
      <w:pPr>
        <w:pStyle w:val="BodyText"/>
        <w:spacing w:before="60" w:after="60" w:line="400" w:lineRule="exact"/>
        <w:ind w:firstLine="720"/>
        <w:rPr>
          <w:rStyle w:val="fontstyle01"/>
          <w:sz w:val="28"/>
          <w:szCs w:val="28"/>
          <w:lang w:val="nb-NO"/>
        </w:rPr>
      </w:pPr>
      <w:r w:rsidRPr="00D1106D">
        <w:rPr>
          <w:lang w:val="nb-NO"/>
        </w:rPr>
        <w:t xml:space="preserve">b) </w:t>
      </w:r>
      <w:r w:rsidRPr="00207324">
        <w:rPr>
          <w:rStyle w:val="fontstyle01"/>
          <w:sz w:val="28"/>
          <w:szCs w:val="28"/>
          <w:lang w:val="nb-NO"/>
        </w:rPr>
        <w:t>Tiến độ xây dựng cơ bản và đưa công trình vào hoạt động hoặc khai thác vận hành:</w:t>
      </w:r>
    </w:p>
    <w:p w14:paraId="37EBE60C" w14:textId="77777777" w:rsidR="00F73F5C" w:rsidRPr="00207324" w:rsidRDefault="00F73F5C" w:rsidP="002617F7">
      <w:pPr>
        <w:pStyle w:val="BodyText"/>
        <w:spacing w:before="60" w:after="60" w:line="400" w:lineRule="exact"/>
        <w:ind w:firstLine="720"/>
        <w:rPr>
          <w:rStyle w:val="fontstyle01"/>
          <w:sz w:val="28"/>
          <w:szCs w:val="28"/>
          <w:lang w:val="nb-NO"/>
        </w:rPr>
      </w:pPr>
      <w:r w:rsidRPr="00207324">
        <w:rPr>
          <w:rStyle w:val="fontstyle01"/>
          <w:sz w:val="28"/>
          <w:szCs w:val="28"/>
          <w:lang w:val="nb-NO"/>
        </w:rPr>
        <w:t xml:space="preserve">+ Giai đoạn 1: </w:t>
      </w:r>
    </w:p>
    <w:p w14:paraId="6FE529A2" w14:textId="76DD9994" w:rsidR="00F73F5C" w:rsidRPr="00207324" w:rsidRDefault="00F73F5C" w:rsidP="002617F7">
      <w:pPr>
        <w:pStyle w:val="BodyText"/>
        <w:spacing w:before="60" w:after="60" w:line="400" w:lineRule="exact"/>
        <w:ind w:firstLine="720"/>
        <w:jc w:val="both"/>
        <w:rPr>
          <w:rStyle w:val="fontstyle01"/>
          <w:sz w:val="28"/>
          <w:szCs w:val="28"/>
          <w:lang w:val="nb-NO"/>
        </w:rPr>
      </w:pPr>
      <w:r w:rsidRPr="00207324">
        <w:rPr>
          <w:rStyle w:val="fontstyle01"/>
          <w:sz w:val="28"/>
          <w:szCs w:val="28"/>
          <w:lang w:val="nb-NO"/>
        </w:rPr>
        <w:t xml:space="preserve">Tiến độ xây dựng cơ bản và đưa công trình vào hoạt động hoặc khai thác vận hành: Tập trung đầu tư xây dựng hệ thống giao thông và hạ tầng đồng bộ dọc theo các tuyến giao thông, xây dựng khu </w:t>
      </w:r>
      <w:r w:rsidR="00207324">
        <w:rPr>
          <w:rStyle w:val="fontstyle01"/>
          <w:sz w:val="28"/>
          <w:szCs w:val="28"/>
          <w:lang w:val="nb-NO"/>
        </w:rPr>
        <w:t xml:space="preserve">hạ tầng kỹ thuật </w:t>
      </w:r>
      <w:r w:rsidR="00A66C91">
        <w:rPr>
          <w:rStyle w:val="fontstyle01"/>
          <w:sz w:val="28"/>
          <w:szCs w:val="28"/>
          <w:lang w:val="nb-NO"/>
        </w:rPr>
        <w:t>tập trung (đ</w:t>
      </w:r>
      <w:r w:rsidRPr="00207324">
        <w:rPr>
          <w:rStyle w:val="fontstyle01"/>
          <w:sz w:val="28"/>
          <w:szCs w:val="28"/>
          <w:lang w:val="nb-NO"/>
        </w:rPr>
        <w:t xml:space="preserve">ầu tư xây </w:t>
      </w:r>
      <w:r w:rsidRPr="00207324">
        <w:rPr>
          <w:rStyle w:val="fontstyle01"/>
          <w:sz w:val="28"/>
          <w:szCs w:val="28"/>
          <w:lang w:val="nb-NO"/>
        </w:rPr>
        <w:lastRenderedPageBreak/>
        <w:t>dựng 50% phần HTKT) 148.420 m</w:t>
      </w:r>
      <w:r w:rsidRPr="00207324">
        <w:rPr>
          <w:rStyle w:val="fontstyle01"/>
          <w:sz w:val="28"/>
          <w:szCs w:val="28"/>
          <w:vertAlign w:val="superscript"/>
          <w:lang w:val="nb-NO"/>
        </w:rPr>
        <w:t>2</w:t>
      </w:r>
      <w:r w:rsidR="00207324">
        <w:rPr>
          <w:rStyle w:val="fontstyle01"/>
          <w:sz w:val="28"/>
          <w:szCs w:val="28"/>
          <w:lang w:val="nb-NO"/>
        </w:rPr>
        <w:t>, h</w:t>
      </w:r>
      <w:r w:rsidRPr="00207324">
        <w:rPr>
          <w:rStyle w:val="fontstyle01"/>
          <w:sz w:val="28"/>
          <w:szCs w:val="28"/>
          <w:lang w:val="nb-NO"/>
        </w:rPr>
        <w:t>oàn thành kho KL, diện tích 22.950 m</w:t>
      </w:r>
      <w:r w:rsidRPr="00207324">
        <w:rPr>
          <w:rStyle w:val="fontstyle01"/>
          <w:sz w:val="28"/>
          <w:szCs w:val="28"/>
          <w:vertAlign w:val="superscript"/>
          <w:lang w:val="nb-NO"/>
        </w:rPr>
        <w:t>2</w:t>
      </w:r>
      <w:r w:rsidRPr="00207324">
        <w:rPr>
          <w:rStyle w:val="fontstyle01"/>
          <w:sz w:val="28"/>
          <w:szCs w:val="28"/>
          <w:lang w:val="nb-NO"/>
        </w:rPr>
        <w:t>và 03 kho hàng hóa, diện tích lần lượt là 22.925 m</w:t>
      </w:r>
      <w:r w:rsidRPr="00207324">
        <w:rPr>
          <w:rStyle w:val="fontstyle01"/>
          <w:sz w:val="28"/>
          <w:szCs w:val="28"/>
          <w:vertAlign w:val="superscript"/>
          <w:lang w:val="nb-NO"/>
        </w:rPr>
        <w:t>2</w:t>
      </w:r>
      <w:r w:rsidRPr="00207324">
        <w:rPr>
          <w:rStyle w:val="fontstyle01"/>
          <w:sz w:val="28"/>
          <w:szCs w:val="28"/>
          <w:lang w:val="nb-NO"/>
        </w:rPr>
        <w:t>, 26.051 m</w:t>
      </w:r>
      <w:r w:rsidRPr="00207324">
        <w:rPr>
          <w:rStyle w:val="fontstyle01"/>
          <w:sz w:val="28"/>
          <w:szCs w:val="28"/>
          <w:vertAlign w:val="superscript"/>
          <w:lang w:val="nb-NO"/>
        </w:rPr>
        <w:t>2</w:t>
      </w:r>
      <w:r w:rsidRPr="00207324">
        <w:rPr>
          <w:rStyle w:val="fontstyle01"/>
          <w:sz w:val="28"/>
          <w:szCs w:val="28"/>
          <w:lang w:val="nb-NO"/>
        </w:rPr>
        <w:t>, 28.226 m</w:t>
      </w:r>
      <w:r w:rsidRPr="00207324">
        <w:rPr>
          <w:rStyle w:val="fontstyle01"/>
          <w:sz w:val="28"/>
          <w:szCs w:val="28"/>
          <w:vertAlign w:val="superscript"/>
          <w:lang w:val="nb-NO"/>
        </w:rPr>
        <w:t>2</w:t>
      </w:r>
      <w:r w:rsidRPr="00207324">
        <w:rPr>
          <w:rStyle w:val="fontstyle01"/>
          <w:sz w:val="28"/>
          <w:szCs w:val="28"/>
          <w:lang w:val="nb-NO"/>
        </w:rPr>
        <w:t>, tổng diện tích 248.572 m</w:t>
      </w:r>
      <w:r w:rsidRPr="00207324">
        <w:rPr>
          <w:rStyle w:val="fontstyle01"/>
          <w:sz w:val="28"/>
          <w:szCs w:val="28"/>
          <w:vertAlign w:val="superscript"/>
          <w:lang w:val="nb-NO"/>
        </w:rPr>
        <w:t>2</w:t>
      </w:r>
      <w:r w:rsidRPr="00207324">
        <w:rPr>
          <w:rStyle w:val="fontstyle01"/>
          <w:sz w:val="28"/>
          <w:szCs w:val="28"/>
          <w:lang w:val="nb-NO"/>
        </w:rPr>
        <w:t>, hoàn thành trong năm 2025.</w:t>
      </w:r>
    </w:p>
    <w:p w14:paraId="457B0C6F" w14:textId="77777777" w:rsidR="00F73F5C" w:rsidRPr="00207324" w:rsidRDefault="00F73F5C" w:rsidP="002617F7">
      <w:pPr>
        <w:pStyle w:val="BodyText"/>
        <w:spacing w:before="60" w:after="60" w:line="400" w:lineRule="exact"/>
        <w:ind w:firstLine="720"/>
        <w:jc w:val="both"/>
        <w:rPr>
          <w:rStyle w:val="fontstyle01"/>
          <w:sz w:val="28"/>
          <w:szCs w:val="28"/>
          <w:lang w:val="nb-NO"/>
        </w:rPr>
      </w:pPr>
      <w:r w:rsidRPr="00207324">
        <w:rPr>
          <w:rStyle w:val="fontstyle01"/>
          <w:sz w:val="28"/>
          <w:szCs w:val="28"/>
          <w:lang w:val="nb-NO"/>
        </w:rPr>
        <w:t>Tiến độ giải phóng mặt bằng, giao đất: 657.958,4 m</w:t>
      </w:r>
      <w:r w:rsidRPr="00207324">
        <w:rPr>
          <w:rStyle w:val="fontstyle01"/>
          <w:sz w:val="28"/>
          <w:szCs w:val="28"/>
          <w:vertAlign w:val="superscript"/>
          <w:lang w:val="nb-NO"/>
        </w:rPr>
        <w:t>2</w:t>
      </w:r>
      <w:r w:rsidRPr="00207324">
        <w:rPr>
          <w:rStyle w:val="fontstyle01"/>
          <w:sz w:val="28"/>
          <w:szCs w:val="28"/>
          <w:lang w:val="nb-NO"/>
        </w:rPr>
        <w:t xml:space="preserve"> đã được giao đất theo Quyết định số 3190/QĐ-UBND ngày 22/11/2021; 14,7 ha được giao đất trong quý II năm 2025.</w:t>
      </w:r>
    </w:p>
    <w:p w14:paraId="1C98DD69" w14:textId="77777777" w:rsidR="00F73F5C" w:rsidRPr="00207324" w:rsidRDefault="00F73F5C" w:rsidP="002617F7">
      <w:pPr>
        <w:pStyle w:val="BodyText"/>
        <w:spacing w:before="60" w:after="60" w:line="400" w:lineRule="exact"/>
        <w:ind w:firstLine="720"/>
        <w:rPr>
          <w:rStyle w:val="fontstyle01"/>
          <w:sz w:val="28"/>
          <w:szCs w:val="28"/>
          <w:lang w:val="nb-NO"/>
        </w:rPr>
      </w:pPr>
      <w:r w:rsidRPr="00207324">
        <w:rPr>
          <w:rStyle w:val="fontstyle01"/>
          <w:sz w:val="28"/>
          <w:szCs w:val="28"/>
          <w:lang w:val="nb-NO"/>
        </w:rPr>
        <w:t>+ Giai đoạn 2:</w:t>
      </w:r>
    </w:p>
    <w:p w14:paraId="2F72CBE1" w14:textId="1ABE543B" w:rsidR="00F73F5C" w:rsidRPr="00207324" w:rsidRDefault="00F73F5C" w:rsidP="002617F7">
      <w:pPr>
        <w:pStyle w:val="BodyText"/>
        <w:spacing w:before="60" w:after="60" w:line="400" w:lineRule="exact"/>
        <w:ind w:firstLine="720"/>
        <w:jc w:val="both"/>
        <w:rPr>
          <w:rStyle w:val="fontstyle01"/>
          <w:sz w:val="28"/>
          <w:szCs w:val="28"/>
          <w:lang w:val="nb-NO"/>
        </w:rPr>
      </w:pPr>
      <w:r w:rsidRPr="00207324">
        <w:rPr>
          <w:rStyle w:val="fontstyle01"/>
          <w:sz w:val="28"/>
          <w:szCs w:val="28"/>
          <w:lang w:val="nb-NO"/>
        </w:rPr>
        <w:t>Tiến độ xây dựng cơ bản và đưa công trình vào hoạt động hoặc khai thác vận hành: Xây dựng nhà điều hành khu ICD, diện tích 9.138 m</w:t>
      </w:r>
      <w:r w:rsidRPr="00207324">
        <w:rPr>
          <w:rStyle w:val="fontstyle01"/>
          <w:sz w:val="28"/>
          <w:szCs w:val="28"/>
          <w:vertAlign w:val="superscript"/>
          <w:lang w:val="nb-NO"/>
        </w:rPr>
        <w:t>2</w:t>
      </w:r>
      <w:r w:rsidR="00A66C91">
        <w:rPr>
          <w:rStyle w:val="fontstyle01"/>
          <w:sz w:val="28"/>
          <w:szCs w:val="28"/>
          <w:lang w:val="nb-NO"/>
        </w:rPr>
        <w:t>; x</w:t>
      </w:r>
      <w:r w:rsidRPr="00207324">
        <w:rPr>
          <w:rStyle w:val="fontstyle01"/>
          <w:sz w:val="28"/>
          <w:szCs w:val="28"/>
          <w:lang w:val="nb-NO"/>
        </w:rPr>
        <w:t>ưởng sửa chữa và sân bãi 6.750 m</w:t>
      </w:r>
      <w:r w:rsidRPr="00207324">
        <w:rPr>
          <w:rStyle w:val="fontstyle01"/>
          <w:sz w:val="28"/>
          <w:szCs w:val="28"/>
          <w:vertAlign w:val="superscript"/>
          <w:lang w:val="nb-NO"/>
        </w:rPr>
        <w:t>2</w:t>
      </w:r>
      <w:r w:rsidRPr="00207324">
        <w:rPr>
          <w:rStyle w:val="fontstyle01"/>
          <w:sz w:val="28"/>
          <w:szCs w:val="28"/>
          <w:lang w:val="nb-NO"/>
        </w:rPr>
        <w:t>; một phần bãi ICD, diện tích là 17,470 m</w:t>
      </w:r>
      <w:r w:rsidRPr="00207324">
        <w:rPr>
          <w:rStyle w:val="fontstyle01"/>
          <w:sz w:val="28"/>
          <w:szCs w:val="28"/>
          <w:vertAlign w:val="superscript"/>
          <w:lang w:val="nb-NO"/>
        </w:rPr>
        <w:t>2</w:t>
      </w:r>
      <w:r w:rsidRPr="00207324">
        <w:rPr>
          <w:rStyle w:val="fontstyle01"/>
          <w:sz w:val="28"/>
          <w:szCs w:val="28"/>
          <w:lang w:val="nb-NO"/>
        </w:rPr>
        <w:t>; xây dựng 02 kho hàng hóa tiếp theo, diện tích lần lượt là 27.216 m</w:t>
      </w:r>
      <w:r w:rsidRPr="00207324">
        <w:rPr>
          <w:rStyle w:val="fontstyle01"/>
          <w:sz w:val="28"/>
          <w:szCs w:val="28"/>
          <w:vertAlign w:val="superscript"/>
          <w:lang w:val="nb-NO"/>
        </w:rPr>
        <w:t xml:space="preserve">2 </w:t>
      </w:r>
      <w:r w:rsidRPr="00207324">
        <w:rPr>
          <w:rStyle w:val="fontstyle01"/>
          <w:sz w:val="28"/>
          <w:szCs w:val="28"/>
          <w:lang w:val="nb-NO"/>
        </w:rPr>
        <w:t>và 24.827 m</w:t>
      </w:r>
      <w:r w:rsidRPr="00207324">
        <w:rPr>
          <w:rStyle w:val="fontstyle01"/>
          <w:sz w:val="28"/>
          <w:szCs w:val="28"/>
          <w:vertAlign w:val="superscript"/>
          <w:lang w:val="nb-NO"/>
        </w:rPr>
        <w:t>2</w:t>
      </w:r>
      <w:r w:rsidRPr="00207324">
        <w:rPr>
          <w:rStyle w:val="fontstyle01"/>
          <w:sz w:val="28"/>
          <w:szCs w:val="28"/>
          <w:lang w:val="nb-NO"/>
        </w:rPr>
        <w:t xml:space="preserve">. Đầu tư xây dựng 50% phần </w:t>
      </w:r>
      <w:r w:rsidR="00A66C91">
        <w:rPr>
          <w:rStyle w:val="fontstyle01"/>
          <w:sz w:val="28"/>
          <w:szCs w:val="28"/>
          <w:lang w:val="nb-NO"/>
        </w:rPr>
        <w:t>hạ tầng kỹ thuật</w:t>
      </w:r>
      <w:r w:rsidRPr="00207324">
        <w:rPr>
          <w:rStyle w:val="fontstyle01"/>
          <w:sz w:val="28"/>
          <w:szCs w:val="28"/>
          <w:lang w:val="nb-NO"/>
        </w:rPr>
        <w:t xml:space="preserve"> còn lại 148.420 m</w:t>
      </w:r>
      <w:r w:rsidRPr="00207324">
        <w:rPr>
          <w:rStyle w:val="fontstyle01"/>
          <w:sz w:val="28"/>
          <w:szCs w:val="28"/>
          <w:vertAlign w:val="superscript"/>
          <w:lang w:val="nb-NO"/>
        </w:rPr>
        <w:t>2</w:t>
      </w:r>
      <w:r w:rsidRPr="00207324">
        <w:rPr>
          <w:rStyle w:val="fontstyle01"/>
          <w:sz w:val="28"/>
          <w:szCs w:val="28"/>
          <w:lang w:val="nb-NO"/>
        </w:rPr>
        <w:t>. Tổng diện tích là 233.821 m</w:t>
      </w:r>
      <w:r w:rsidRPr="00207324">
        <w:rPr>
          <w:rStyle w:val="fontstyle01"/>
          <w:sz w:val="28"/>
          <w:szCs w:val="28"/>
          <w:vertAlign w:val="superscript"/>
          <w:lang w:val="nb-NO"/>
        </w:rPr>
        <w:t>2</w:t>
      </w:r>
      <w:r w:rsidRPr="00207324">
        <w:rPr>
          <w:rStyle w:val="fontstyle01"/>
          <w:sz w:val="28"/>
          <w:szCs w:val="28"/>
          <w:lang w:val="nb-NO"/>
        </w:rPr>
        <w:t>, dự kiến hoàn thành giai đoạn 2 trong cuối năm 2026.</w:t>
      </w:r>
    </w:p>
    <w:p w14:paraId="62043C32" w14:textId="77777777" w:rsidR="00F73F5C" w:rsidRPr="00207324" w:rsidRDefault="00F73F5C" w:rsidP="002617F7">
      <w:pPr>
        <w:pStyle w:val="BodyText"/>
        <w:spacing w:before="60" w:after="60" w:line="400" w:lineRule="exact"/>
        <w:ind w:firstLine="720"/>
        <w:jc w:val="both"/>
        <w:rPr>
          <w:rStyle w:val="fontstyle01"/>
          <w:sz w:val="28"/>
          <w:szCs w:val="28"/>
          <w:lang w:val="nb-NO"/>
        </w:rPr>
      </w:pPr>
      <w:r w:rsidRPr="00207324">
        <w:rPr>
          <w:rStyle w:val="fontstyle01"/>
          <w:sz w:val="28"/>
          <w:szCs w:val="28"/>
          <w:lang w:val="nb-NO"/>
        </w:rPr>
        <w:t>Tiến độ giải phóng mặt bằng, giao đất: 2,6 ha được giao đất trong quý II/2026.</w:t>
      </w:r>
    </w:p>
    <w:p w14:paraId="5786329D" w14:textId="77777777" w:rsidR="00F73F5C" w:rsidRPr="00207324" w:rsidRDefault="00F73F5C" w:rsidP="002617F7">
      <w:pPr>
        <w:pStyle w:val="BodyText"/>
        <w:spacing w:before="60" w:after="60" w:line="400" w:lineRule="exact"/>
        <w:ind w:firstLine="720"/>
        <w:rPr>
          <w:rStyle w:val="fontstyle01"/>
          <w:sz w:val="28"/>
          <w:szCs w:val="28"/>
          <w:lang w:val="nb-NO"/>
        </w:rPr>
      </w:pPr>
      <w:r w:rsidRPr="00207324">
        <w:rPr>
          <w:rStyle w:val="fontstyle01"/>
          <w:sz w:val="28"/>
          <w:szCs w:val="28"/>
          <w:lang w:val="nb-NO"/>
        </w:rPr>
        <w:t>+ Giai đoạn 3:</w:t>
      </w:r>
    </w:p>
    <w:p w14:paraId="525092D1" w14:textId="77777777" w:rsidR="00F73F5C" w:rsidRPr="00207324" w:rsidRDefault="00F73F5C" w:rsidP="002617F7">
      <w:pPr>
        <w:pStyle w:val="BodyText"/>
        <w:spacing w:before="60" w:after="60" w:line="400" w:lineRule="exact"/>
        <w:ind w:firstLine="720"/>
        <w:jc w:val="both"/>
        <w:rPr>
          <w:rStyle w:val="fontstyle01"/>
          <w:sz w:val="28"/>
          <w:szCs w:val="28"/>
          <w:lang w:val="nb-NO"/>
        </w:rPr>
      </w:pPr>
      <w:r w:rsidRPr="00207324">
        <w:rPr>
          <w:rStyle w:val="fontstyle01"/>
          <w:sz w:val="28"/>
          <w:szCs w:val="28"/>
          <w:lang w:val="nb-NO"/>
        </w:rPr>
        <w:t>Tiến độ xây dựng cơ bản và đưa công trình vào hoạt động hoặc khai thác vận hành: Xây dựng 03 kho hàng hóa tiếp theo, diện tích lần lượt là 29.149 m</w:t>
      </w:r>
      <w:r w:rsidRPr="00207324">
        <w:rPr>
          <w:rStyle w:val="fontstyle01"/>
          <w:sz w:val="28"/>
          <w:szCs w:val="28"/>
          <w:vertAlign w:val="superscript"/>
          <w:lang w:val="nb-NO"/>
        </w:rPr>
        <w:t>2</w:t>
      </w:r>
      <w:r w:rsidRPr="00207324">
        <w:rPr>
          <w:rStyle w:val="fontstyle01"/>
          <w:sz w:val="28"/>
          <w:szCs w:val="28"/>
          <w:lang w:val="nb-NO"/>
        </w:rPr>
        <w:t>, 28.824 m</w:t>
      </w:r>
      <w:r w:rsidRPr="00207324">
        <w:rPr>
          <w:rStyle w:val="fontstyle01"/>
          <w:sz w:val="28"/>
          <w:szCs w:val="28"/>
          <w:vertAlign w:val="superscript"/>
          <w:lang w:val="nb-NO"/>
        </w:rPr>
        <w:t xml:space="preserve">2 </w:t>
      </w:r>
      <w:r w:rsidRPr="00207324">
        <w:rPr>
          <w:rStyle w:val="fontstyle01"/>
          <w:sz w:val="28"/>
          <w:szCs w:val="28"/>
          <w:lang w:val="nb-NO"/>
        </w:rPr>
        <w:t>và 43.566 m</w:t>
      </w:r>
      <w:r w:rsidRPr="00207324">
        <w:rPr>
          <w:rStyle w:val="fontstyle01"/>
          <w:sz w:val="28"/>
          <w:szCs w:val="28"/>
          <w:vertAlign w:val="superscript"/>
          <w:lang w:val="nb-NO"/>
        </w:rPr>
        <w:t>2</w:t>
      </w:r>
      <w:r w:rsidRPr="00207324">
        <w:rPr>
          <w:rStyle w:val="fontstyle01"/>
          <w:sz w:val="28"/>
          <w:szCs w:val="28"/>
          <w:lang w:val="nb-NO"/>
        </w:rPr>
        <w:t>, và 41,973 m</w:t>
      </w:r>
      <w:r w:rsidRPr="00207324">
        <w:rPr>
          <w:rStyle w:val="fontstyle01"/>
          <w:sz w:val="28"/>
          <w:szCs w:val="28"/>
          <w:vertAlign w:val="superscript"/>
          <w:lang w:val="nb-NO"/>
        </w:rPr>
        <w:t xml:space="preserve">2 </w:t>
      </w:r>
      <w:r w:rsidRPr="00207324">
        <w:rPr>
          <w:rStyle w:val="fontstyle01"/>
          <w:sz w:val="28"/>
          <w:szCs w:val="28"/>
          <w:lang w:val="nb-NO"/>
        </w:rPr>
        <w:t>diện tích khu bãi ICD. Tổng diện tích là 143.512 m</w:t>
      </w:r>
      <w:r w:rsidRPr="00207324">
        <w:rPr>
          <w:rStyle w:val="fontstyle01"/>
          <w:sz w:val="28"/>
          <w:szCs w:val="28"/>
          <w:vertAlign w:val="superscript"/>
          <w:lang w:val="nb-NO"/>
        </w:rPr>
        <w:t>2</w:t>
      </w:r>
      <w:r w:rsidRPr="00207324">
        <w:rPr>
          <w:rStyle w:val="fontstyle01"/>
          <w:sz w:val="28"/>
          <w:szCs w:val="28"/>
          <w:lang w:val="nb-NO"/>
        </w:rPr>
        <w:t>, dự kiến hoàn thành trong cuối năm 2027.</w:t>
      </w:r>
    </w:p>
    <w:p w14:paraId="781D3756" w14:textId="77777777" w:rsidR="00F73F5C" w:rsidRPr="00207324" w:rsidRDefault="00F73F5C" w:rsidP="002617F7">
      <w:pPr>
        <w:pStyle w:val="BodyText"/>
        <w:spacing w:before="60" w:after="60" w:line="400" w:lineRule="exact"/>
        <w:ind w:firstLine="720"/>
        <w:rPr>
          <w:rStyle w:val="fontstyle01"/>
          <w:sz w:val="28"/>
          <w:szCs w:val="28"/>
          <w:lang w:val="nb-NO"/>
        </w:rPr>
      </w:pPr>
      <w:r w:rsidRPr="00207324">
        <w:rPr>
          <w:rStyle w:val="fontstyle01"/>
          <w:sz w:val="28"/>
          <w:szCs w:val="28"/>
          <w:lang w:val="nb-NO"/>
        </w:rPr>
        <w:t xml:space="preserve">+ Giai đoạn 4: </w:t>
      </w:r>
    </w:p>
    <w:p w14:paraId="13E0CF2A" w14:textId="77777777" w:rsidR="00F73F5C" w:rsidRPr="00207324" w:rsidRDefault="00F73F5C" w:rsidP="002617F7">
      <w:pPr>
        <w:pStyle w:val="BodyText"/>
        <w:spacing w:before="60" w:after="60" w:line="400" w:lineRule="exact"/>
        <w:ind w:firstLine="720"/>
        <w:jc w:val="both"/>
        <w:rPr>
          <w:rStyle w:val="fontstyle01"/>
          <w:sz w:val="28"/>
          <w:szCs w:val="28"/>
          <w:lang w:val="nb-NO"/>
        </w:rPr>
      </w:pPr>
      <w:r w:rsidRPr="00207324">
        <w:rPr>
          <w:rStyle w:val="fontstyle01"/>
          <w:sz w:val="28"/>
          <w:szCs w:val="28"/>
          <w:lang w:val="nb-NO"/>
        </w:rPr>
        <w:t>Tiến độ xây dựng cơ bản và đưa công trình vào hoạt động hoặc khai thác vận hành: Triển khai xây dựng 02 nhà kho còn lại, diện tích lần lượt là 38.719 m</w:t>
      </w:r>
      <w:r w:rsidRPr="00207324">
        <w:rPr>
          <w:rStyle w:val="fontstyle01"/>
          <w:sz w:val="28"/>
          <w:szCs w:val="28"/>
          <w:vertAlign w:val="superscript"/>
          <w:lang w:val="nb-NO"/>
        </w:rPr>
        <w:t xml:space="preserve">2 </w:t>
      </w:r>
      <w:r w:rsidRPr="00207324">
        <w:rPr>
          <w:rStyle w:val="fontstyle01"/>
          <w:sz w:val="28"/>
          <w:szCs w:val="28"/>
          <w:lang w:val="nb-NO"/>
        </w:rPr>
        <w:t>và 22.950 m</w:t>
      </w:r>
      <w:r w:rsidRPr="00207324">
        <w:rPr>
          <w:rStyle w:val="fontstyle01"/>
          <w:sz w:val="28"/>
          <w:szCs w:val="28"/>
          <w:vertAlign w:val="superscript"/>
          <w:lang w:val="nb-NO"/>
        </w:rPr>
        <w:t>2</w:t>
      </w:r>
      <w:r w:rsidRPr="00207324">
        <w:rPr>
          <w:rStyle w:val="fontstyle01"/>
          <w:sz w:val="28"/>
          <w:szCs w:val="28"/>
          <w:lang w:val="nb-NO"/>
        </w:rPr>
        <w:t>; Trung tâm phân phối SCC diện tích 75.700 m</w:t>
      </w:r>
      <w:r w:rsidRPr="00207324">
        <w:rPr>
          <w:rStyle w:val="fontstyle01"/>
          <w:sz w:val="28"/>
          <w:szCs w:val="28"/>
          <w:vertAlign w:val="superscript"/>
          <w:lang w:val="nb-NO"/>
        </w:rPr>
        <w:t>2</w:t>
      </w:r>
      <w:r w:rsidRPr="00207324">
        <w:rPr>
          <w:rStyle w:val="fontstyle01"/>
          <w:sz w:val="28"/>
          <w:szCs w:val="28"/>
          <w:lang w:val="nb-NO"/>
        </w:rPr>
        <w:t>) và phần còn lại của bãi ICD diện tích 41.512 m</w:t>
      </w:r>
      <w:r w:rsidRPr="00207324">
        <w:rPr>
          <w:rStyle w:val="fontstyle01"/>
          <w:sz w:val="28"/>
          <w:szCs w:val="28"/>
          <w:vertAlign w:val="superscript"/>
          <w:lang w:val="nb-NO"/>
        </w:rPr>
        <w:t xml:space="preserve">2 </w:t>
      </w:r>
      <w:r w:rsidRPr="00207324">
        <w:rPr>
          <w:rStyle w:val="fontstyle01"/>
          <w:sz w:val="28"/>
          <w:szCs w:val="28"/>
          <w:lang w:val="nb-NO"/>
        </w:rPr>
        <w:t>và công trình hỗ trợ diện tích 25.998 m</w:t>
      </w:r>
      <w:r w:rsidRPr="00207324">
        <w:rPr>
          <w:rStyle w:val="fontstyle01"/>
          <w:sz w:val="28"/>
          <w:szCs w:val="28"/>
          <w:vertAlign w:val="superscript"/>
          <w:lang w:val="nb-NO"/>
        </w:rPr>
        <w:t>2</w:t>
      </w:r>
      <w:r w:rsidRPr="00207324">
        <w:rPr>
          <w:rStyle w:val="fontstyle01"/>
          <w:sz w:val="28"/>
          <w:szCs w:val="28"/>
          <w:lang w:val="nb-NO"/>
        </w:rPr>
        <w:t>. Tổng diện tích là 204.870 m</w:t>
      </w:r>
      <w:r w:rsidRPr="00207324">
        <w:rPr>
          <w:rStyle w:val="fontstyle01"/>
          <w:sz w:val="28"/>
          <w:szCs w:val="28"/>
          <w:vertAlign w:val="superscript"/>
          <w:lang w:val="nb-NO"/>
        </w:rPr>
        <w:t>2</w:t>
      </w:r>
      <w:r w:rsidRPr="00207324">
        <w:rPr>
          <w:rStyle w:val="fontstyle01"/>
          <w:sz w:val="28"/>
          <w:szCs w:val="28"/>
          <w:lang w:val="nb-NO"/>
        </w:rPr>
        <w:t>, dự kiến hoàn thành cuối năm 2028.”</w:t>
      </w:r>
    </w:p>
    <w:p w14:paraId="3278278B" w14:textId="77777777" w:rsidR="00F47C5B" w:rsidRPr="00D1106D" w:rsidRDefault="00F73F5C" w:rsidP="002617F7">
      <w:pPr>
        <w:pStyle w:val="NormalWeb"/>
        <w:spacing w:before="60" w:beforeAutospacing="0" w:after="60" w:afterAutospacing="0" w:line="400" w:lineRule="exact"/>
        <w:ind w:firstLine="720"/>
        <w:jc w:val="both"/>
        <w:rPr>
          <w:color w:val="000000" w:themeColor="text1"/>
          <w:sz w:val="28"/>
          <w:szCs w:val="28"/>
          <w:lang w:val="sv-SE"/>
        </w:rPr>
      </w:pPr>
      <w:r w:rsidRPr="00D1106D">
        <w:rPr>
          <w:color w:val="000000" w:themeColor="text1"/>
          <w:sz w:val="28"/>
          <w:szCs w:val="28"/>
          <w:lang w:val="sv-SE"/>
        </w:rPr>
        <w:t>4</w:t>
      </w:r>
      <w:r w:rsidR="00F47C5B" w:rsidRPr="00D1106D">
        <w:rPr>
          <w:color w:val="000000" w:themeColor="text1"/>
          <w:sz w:val="28"/>
          <w:szCs w:val="28"/>
          <w:lang w:val="sv-SE"/>
        </w:rPr>
        <w:t xml:space="preserve">. Các nội dung khác của Quyết định số </w:t>
      </w:r>
      <w:r w:rsidRPr="00D1106D">
        <w:rPr>
          <w:color w:val="000000" w:themeColor="text1"/>
          <w:sz w:val="28"/>
          <w:szCs w:val="28"/>
          <w:lang w:val="sv-SE"/>
        </w:rPr>
        <w:t>2768/QĐ-UBND ngày 12/11/2020</w:t>
      </w:r>
      <w:r w:rsidRPr="00207324">
        <w:rPr>
          <w:sz w:val="28"/>
          <w:szCs w:val="28"/>
          <w:lang w:val="nb-NO"/>
        </w:rPr>
        <w:t xml:space="preserve"> </w:t>
      </w:r>
      <w:r w:rsidR="00F47C5B" w:rsidRPr="00D1106D">
        <w:rPr>
          <w:color w:val="000000" w:themeColor="text1"/>
          <w:sz w:val="28"/>
          <w:szCs w:val="28"/>
          <w:lang w:val="sv-SE"/>
        </w:rPr>
        <w:t xml:space="preserve">của UBND tỉnh Vĩnh Phúc </w:t>
      </w:r>
      <w:r w:rsidR="003D003C" w:rsidRPr="00D1106D">
        <w:rPr>
          <w:color w:val="000000" w:themeColor="text1"/>
          <w:sz w:val="28"/>
          <w:szCs w:val="28"/>
          <w:lang w:val="sv-SE"/>
        </w:rPr>
        <w:t xml:space="preserve">quyết định </w:t>
      </w:r>
      <w:r w:rsidR="00F47C5B" w:rsidRPr="00D1106D">
        <w:rPr>
          <w:color w:val="000000" w:themeColor="text1"/>
          <w:sz w:val="28"/>
          <w:szCs w:val="28"/>
          <w:lang w:val="sv-SE"/>
        </w:rPr>
        <w:t>chủ trương đầu tư cho Dự án Trung tâm Logistics ICD Vĩnh Phúc của Công ty Cổ phần T&amp;Y Superport Vĩnh Phúc giữ nguyên giá trị pháp lý.</w:t>
      </w:r>
    </w:p>
    <w:p w14:paraId="4691DC8F" w14:textId="77777777" w:rsidR="00F47C5B" w:rsidRPr="00207324" w:rsidRDefault="00F47C5B" w:rsidP="002617F7">
      <w:pPr>
        <w:tabs>
          <w:tab w:val="left" w:leader="dot" w:pos="9072"/>
        </w:tabs>
        <w:spacing w:before="60" w:after="60" w:line="400" w:lineRule="exact"/>
        <w:ind w:firstLine="720"/>
        <w:jc w:val="both"/>
        <w:rPr>
          <w:b/>
          <w:lang w:val="sv-SE"/>
        </w:rPr>
      </w:pPr>
      <w:r w:rsidRPr="00207324">
        <w:rPr>
          <w:b/>
          <w:lang w:val="sv-SE"/>
        </w:rPr>
        <w:t>Điều 2</w:t>
      </w:r>
      <w:r w:rsidRPr="00207324">
        <w:rPr>
          <w:lang w:val="sv-SE"/>
        </w:rPr>
        <w:t xml:space="preserve">. </w:t>
      </w:r>
      <w:r w:rsidRPr="00207324">
        <w:rPr>
          <w:b/>
          <w:lang w:val="sv-SE"/>
        </w:rPr>
        <w:t>Tổ chức thực hiện</w:t>
      </w:r>
    </w:p>
    <w:p w14:paraId="64C7245A" w14:textId="77777777" w:rsidR="00F47C5B" w:rsidRPr="00207324" w:rsidRDefault="00F47C5B" w:rsidP="002617F7">
      <w:pPr>
        <w:tabs>
          <w:tab w:val="left" w:leader="dot" w:pos="9072"/>
        </w:tabs>
        <w:spacing w:before="60" w:after="60" w:line="400" w:lineRule="exact"/>
        <w:ind w:firstLine="720"/>
        <w:jc w:val="both"/>
        <w:rPr>
          <w:lang w:val="sv-SE"/>
        </w:rPr>
      </w:pPr>
      <w:r w:rsidRPr="00207324">
        <w:rPr>
          <w:lang w:val="sv-SE"/>
        </w:rPr>
        <w:t xml:space="preserve">1. Nhà đầu tư chịu trách nhiệm trước pháp luật về tính hợp pháp, chính xác, trung thực của nội dung hồ sơ và các văn bản gửi cơ quan nhà nước có thẩm </w:t>
      </w:r>
      <w:r w:rsidRPr="00207324">
        <w:rPr>
          <w:lang w:val="sv-SE"/>
        </w:rPr>
        <w:lastRenderedPageBreak/>
        <w:t xml:space="preserve">quyền; tự chịu trách nhiệm huy động các nguồn vốn đầu tư theo tiến độ đã đăng ký và hiệu quả của dự án; </w:t>
      </w:r>
      <w:r w:rsidRPr="00D1106D">
        <w:rPr>
          <w:color w:val="000000" w:themeColor="text1"/>
          <w:lang w:val="nb-NO"/>
        </w:rPr>
        <w:t xml:space="preserve">triển khai dự án đảm bảo đúng các quy </w:t>
      </w:r>
      <w:r w:rsidRPr="00207324">
        <w:rPr>
          <w:color w:val="000000" w:themeColor="text1"/>
          <w:lang w:val="sv-SE"/>
        </w:rPr>
        <w:t>định về: đầu tư, kinh doanh, xây dựng, đất đai, môi trường, phòng chống cháy nổ, vệ sinh an toàn lao động</w:t>
      </w:r>
      <w:r w:rsidR="0012156E" w:rsidRPr="00207324">
        <w:rPr>
          <w:color w:val="000000" w:themeColor="text1"/>
          <w:lang w:val="sv-SE"/>
        </w:rPr>
        <w:t>, kinh doanh bất động sản</w:t>
      </w:r>
      <w:r w:rsidRPr="00207324">
        <w:rPr>
          <w:color w:val="000000" w:themeColor="text1"/>
          <w:lang w:val="sv-SE"/>
        </w:rPr>
        <w:t xml:space="preserve">… và các vấn đề khác liên quan đến việc triển khai dự án, tuân thủ tiến độ thực hiện dự án đã được chấp thuận; </w:t>
      </w:r>
      <w:r w:rsidRPr="00207324">
        <w:rPr>
          <w:lang w:val="sv-SE"/>
        </w:rPr>
        <w:t>xây dựng đảm bảo đúng thiết kế, sử dụng đúng công năng, mục đích của các công trình xây dựng trong phạm vi dự án.</w:t>
      </w:r>
    </w:p>
    <w:p w14:paraId="46CA78B2" w14:textId="77777777" w:rsidR="007E6DEB" w:rsidRPr="00207324" w:rsidRDefault="00205FEC" w:rsidP="002617F7">
      <w:pPr>
        <w:tabs>
          <w:tab w:val="left" w:leader="dot" w:pos="9072"/>
        </w:tabs>
        <w:spacing w:before="60" w:after="60" w:line="400" w:lineRule="exact"/>
        <w:ind w:firstLine="720"/>
        <w:jc w:val="both"/>
        <w:rPr>
          <w:color w:val="000000"/>
          <w:lang w:val="sv-SE"/>
        </w:rPr>
      </w:pPr>
      <w:r w:rsidRPr="00207324">
        <w:rPr>
          <w:color w:val="000000"/>
          <w:lang w:val="sv-SE"/>
        </w:rPr>
        <w:t>Nhà đầu tư/Tổ chức kinh tế thực hiện dự án chỉ được triển khai hoạt</w:t>
      </w:r>
      <w:r w:rsidRPr="00207324">
        <w:rPr>
          <w:color w:val="000000"/>
          <w:lang w:val="sv-SE"/>
        </w:rPr>
        <w:br/>
        <w:t>động đối với các lĩnh vực đầu tư kinh doanh có điều kiện khi đáp ứng các điều</w:t>
      </w:r>
      <w:r w:rsidRPr="00207324">
        <w:rPr>
          <w:color w:val="000000"/>
          <w:lang w:val="sv-SE"/>
        </w:rPr>
        <w:br/>
        <w:t>kiện và/hoặc được cấp giấy phép/giấy chứng nhận/chứng chỉ hành nghề hoặc</w:t>
      </w:r>
      <w:r w:rsidRPr="00207324">
        <w:rPr>
          <w:color w:val="000000"/>
          <w:lang w:val="sv-SE"/>
        </w:rPr>
        <w:br/>
        <w:t>văn bản xác nhận theo quy định pháp luật hiện hành.</w:t>
      </w:r>
      <w:r w:rsidR="00E01A09" w:rsidRPr="00207324">
        <w:rPr>
          <w:color w:val="000000"/>
          <w:lang w:val="sv-SE"/>
        </w:rPr>
        <w:t xml:space="preserve"> </w:t>
      </w:r>
      <w:r w:rsidR="007E6DEB" w:rsidRPr="00207324">
        <w:rPr>
          <w:color w:val="000000"/>
          <w:lang w:val="sv-SE"/>
        </w:rPr>
        <w:t>Nhà đầu tư nước ngoài phải tuân thủ và đáp ứng các điều kiện đầu tư theo quy định pháp luật Việt Nam và các điều ước quốc tế mà Việt Nam là thành viên.</w:t>
      </w:r>
    </w:p>
    <w:p w14:paraId="608522FF" w14:textId="77777777" w:rsidR="00205FEC" w:rsidRPr="00207324" w:rsidRDefault="00AE2DAE" w:rsidP="002617F7">
      <w:pPr>
        <w:tabs>
          <w:tab w:val="left" w:leader="dot" w:pos="9072"/>
        </w:tabs>
        <w:spacing w:before="60" w:after="60" w:line="400" w:lineRule="exact"/>
        <w:ind w:firstLine="720"/>
        <w:jc w:val="both"/>
        <w:rPr>
          <w:color w:val="000000"/>
          <w:lang w:val="sv-SE"/>
        </w:rPr>
      </w:pPr>
      <w:r w:rsidRPr="00207324">
        <w:rPr>
          <w:color w:val="000000"/>
          <w:lang w:val="sv-SE"/>
        </w:rPr>
        <w:t>Hoạt động</w:t>
      </w:r>
      <w:r w:rsidR="00E01A09" w:rsidRPr="00207324">
        <w:rPr>
          <w:color w:val="000000"/>
          <w:lang w:val="sv-SE"/>
        </w:rPr>
        <w:t xml:space="preserve"> </w:t>
      </w:r>
      <w:r w:rsidRPr="00207324">
        <w:rPr>
          <w:color w:val="000000"/>
          <w:lang w:val="sv-SE"/>
        </w:rPr>
        <w:t xml:space="preserve">kinh doanh bất động sản chỉ được thực hiện </w:t>
      </w:r>
      <w:r w:rsidR="007E6DEB" w:rsidRPr="00207324">
        <w:rPr>
          <w:color w:val="000000"/>
          <w:lang w:val="sv-SE"/>
        </w:rPr>
        <w:t>khi Nhà đầu tư/Tổ chức kinh tế thực hiện dự án đáp ứng đủ các điều kiện theo quy định của pháp luật về kinh doanh bất động sản.</w:t>
      </w:r>
    </w:p>
    <w:p w14:paraId="6E9C84C6" w14:textId="77777777" w:rsidR="00E01A09" w:rsidRPr="00207324" w:rsidRDefault="00E01A09" w:rsidP="002617F7">
      <w:pPr>
        <w:tabs>
          <w:tab w:val="left" w:leader="dot" w:pos="9072"/>
        </w:tabs>
        <w:spacing w:before="60" w:after="60" w:line="400" w:lineRule="exact"/>
        <w:ind w:firstLine="720"/>
        <w:jc w:val="both"/>
        <w:rPr>
          <w:lang w:val="sv-SE"/>
        </w:rPr>
      </w:pPr>
      <w:r w:rsidRPr="00207324">
        <w:rPr>
          <w:color w:val="000000"/>
          <w:lang w:val="sv-SE"/>
        </w:rPr>
        <w:t>Các nhà đầu tư thực hiện dự án phải thực hiện việc góp vốn đầu tư bổ sung theo đúng tiến độ góp vốn đã được chấp thuận. Quá thời hạn trên, Nhà đầu tư không thực hiện góp vốn theo đúng tiến độ sẽ bị xem xét xử lý theo quy định.</w:t>
      </w:r>
    </w:p>
    <w:p w14:paraId="059E8E9A" w14:textId="77777777" w:rsidR="00F47C5B" w:rsidRPr="00207324" w:rsidRDefault="0012156E" w:rsidP="002617F7">
      <w:pPr>
        <w:tabs>
          <w:tab w:val="left" w:leader="dot" w:pos="9072"/>
        </w:tabs>
        <w:spacing w:before="60" w:after="60" w:line="400" w:lineRule="exact"/>
        <w:ind w:firstLine="720"/>
        <w:jc w:val="both"/>
        <w:rPr>
          <w:lang w:val="sv-SE"/>
        </w:rPr>
      </w:pPr>
      <w:r w:rsidRPr="00207324">
        <w:rPr>
          <w:lang w:val="sv-SE"/>
        </w:rPr>
        <w:t>3</w:t>
      </w:r>
      <w:r w:rsidR="00F47C5B" w:rsidRPr="00207324">
        <w:rPr>
          <w:lang w:val="sv-SE"/>
        </w:rPr>
        <w:t>. Nhà đầu tư có trách nhiệm thực hiện các nội dung sau đây:</w:t>
      </w:r>
    </w:p>
    <w:p w14:paraId="2ED1685D" w14:textId="6F38A91A" w:rsidR="00F47C5B" w:rsidRPr="00207324" w:rsidRDefault="00F47C5B" w:rsidP="002617F7">
      <w:pPr>
        <w:tabs>
          <w:tab w:val="left" w:leader="dot" w:pos="9072"/>
        </w:tabs>
        <w:spacing w:before="60" w:after="60" w:line="400" w:lineRule="exact"/>
        <w:ind w:firstLine="720"/>
        <w:jc w:val="both"/>
        <w:rPr>
          <w:lang w:val="sv-SE"/>
        </w:rPr>
      </w:pPr>
      <w:r w:rsidRPr="00207324">
        <w:rPr>
          <w:lang w:val="sv-SE"/>
        </w:rPr>
        <w:t xml:space="preserve">- Thực hiện các nghĩa vụ tài chính và các nghĩa vụ khác </w:t>
      </w:r>
      <w:r w:rsidR="0012156E" w:rsidRPr="00207324">
        <w:rPr>
          <w:lang w:val="sv-SE"/>
        </w:rPr>
        <w:t xml:space="preserve">với Nhà nước </w:t>
      </w:r>
      <w:r w:rsidRPr="00207324">
        <w:rPr>
          <w:lang w:val="sv-SE"/>
        </w:rPr>
        <w:t>theo quy định của pháp luật hiện hành;</w:t>
      </w:r>
      <w:r w:rsidR="009343FF" w:rsidRPr="00207324">
        <w:rPr>
          <w:lang w:val="sv-SE"/>
        </w:rPr>
        <w:t xml:space="preserve"> </w:t>
      </w:r>
      <w:r w:rsidR="009343FF" w:rsidRPr="00207324">
        <w:rPr>
          <w:color w:val="000000" w:themeColor="text1"/>
          <w:lang w:val="sv-SE"/>
        </w:rPr>
        <w:t>đảm bảo thực hiện đầy đủ các nghĩa vụ tài chính và không làm thất thoát ngân sách nhà nước.</w:t>
      </w:r>
    </w:p>
    <w:p w14:paraId="329D7707" w14:textId="77777777" w:rsidR="00C1364D" w:rsidRPr="00207324" w:rsidRDefault="006109CB" w:rsidP="002617F7">
      <w:pPr>
        <w:tabs>
          <w:tab w:val="left" w:leader="dot" w:pos="9072"/>
        </w:tabs>
        <w:spacing w:before="60" w:after="60" w:line="400" w:lineRule="exact"/>
        <w:ind w:firstLine="720"/>
        <w:jc w:val="both"/>
        <w:rPr>
          <w:lang w:val="sv-SE"/>
        </w:rPr>
      </w:pPr>
      <w:r w:rsidRPr="00207324">
        <w:rPr>
          <w:lang w:val="sv-SE"/>
        </w:rPr>
        <w:t xml:space="preserve">- Liên hệ với Sở Tài chính </w:t>
      </w:r>
      <w:bookmarkStart w:id="2" w:name="_Hlk193445986"/>
      <w:r w:rsidRPr="00207324">
        <w:rPr>
          <w:lang w:val="sv-SE"/>
        </w:rPr>
        <w:t xml:space="preserve">thực hiện </w:t>
      </w:r>
      <w:r w:rsidR="00286BB3" w:rsidRPr="00207324">
        <w:rPr>
          <w:lang w:val="sv-SE"/>
        </w:rPr>
        <w:t>nộp bổ sung số tiền</w:t>
      </w:r>
      <w:r w:rsidR="00C1364D" w:rsidRPr="00207324">
        <w:rPr>
          <w:lang w:val="sv-SE"/>
        </w:rPr>
        <w:t xml:space="preserve"> ký quỹ hoặc</w:t>
      </w:r>
      <w:r w:rsidR="00286BB3" w:rsidRPr="00207324">
        <w:rPr>
          <w:lang w:val="sv-SE"/>
        </w:rPr>
        <w:t xml:space="preserve"> bổ sung bảo lãnh ký quỹ của tổ chức tín dụng tương ứng với số vốn đầu tư tăng theo quy định.</w:t>
      </w:r>
      <w:bookmarkEnd w:id="2"/>
    </w:p>
    <w:p w14:paraId="5DEC06B5" w14:textId="6628199A" w:rsidR="00F47C5B" w:rsidRPr="00207324" w:rsidRDefault="00C1364D" w:rsidP="002617F7">
      <w:pPr>
        <w:tabs>
          <w:tab w:val="left" w:leader="dot" w:pos="9072"/>
        </w:tabs>
        <w:spacing w:before="60" w:after="60" w:line="400" w:lineRule="exact"/>
        <w:ind w:firstLine="720"/>
        <w:jc w:val="both"/>
        <w:rPr>
          <w:lang w:val="sv-SE"/>
        </w:rPr>
      </w:pPr>
      <w:r w:rsidRPr="00207324">
        <w:rPr>
          <w:color w:val="000000"/>
          <w:shd w:val="clear" w:color="auto" w:fill="FFFFFF"/>
          <w:lang w:val="sv-SE"/>
        </w:rPr>
        <w:t> </w:t>
      </w:r>
      <w:r w:rsidR="00F47C5B" w:rsidRPr="00207324">
        <w:rPr>
          <w:lang w:val="sv-SE"/>
        </w:rPr>
        <w:t>- Liên hệ với Sở Xây dựng để được hướng dẫn thực hiện các thủ tục về xây dựng</w:t>
      </w:r>
      <w:r w:rsidR="0012156E" w:rsidRPr="00207324">
        <w:rPr>
          <w:lang w:val="sv-SE"/>
        </w:rPr>
        <w:t>, kinh doanh bất động sản</w:t>
      </w:r>
      <w:r w:rsidR="00A66C91">
        <w:rPr>
          <w:lang w:val="sv-SE"/>
        </w:rPr>
        <w:t>.</w:t>
      </w:r>
    </w:p>
    <w:p w14:paraId="42CA2C50" w14:textId="7B269F47" w:rsidR="00F47C5B" w:rsidRPr="00207324" w:rsidRDefault="00F47C5B" w:rsidP="002617F7">
      <w:pPr>
        <w:tabs>
          <w:tab w:val="left" w:leader="dot" w:pos="9072"/>
        </w:tabs>
        <w:spacing w:before="60" w:after="60" w:line="400" w:lineRule="exact"/>
        <w:ind w:firstLine="720"/>
        <w:jc w:val="both"/>
        <w:rPr>
          <w:lang w:val="sv-SE"/>
        </w:rPr>
      </w:pPr>
      <w:r w:rsidRPr="00207324">
        <w:rPr>
          <w:lang w:val="sv-SE"/>
        </w:rPr>
        <w:t xml:space="preserve">- Liên hệ với Sở </w:t>
      </w:r>
      <w:r w:rsidR="00812425" w:rsidRPr="00207324">
        <w:rPr>
          <w:lang w:val="sv-SE"/>
        </w:rPr>
        <w:t>Nông nghiệp</w:t>
      </w:r>
      <w:r w:rsidRPr="00207324">
        <w:rPr>
          <w:lang w:val="sv-SE"/>
        </w:rPr>
        <w:t xml:space="preserve"> và Môi trường để được hướng dẫn hoàn thiện các thủ tục về đất đai</w:t>
      </w:r>
      <w:r w:rsidR="0012156E" w:rsidRPr="00207324">
        <w:rPr>
          <w:lang w:val="sv-SE"/>
        </w:rPr>
        <w:t>, môi trường</w:t>
      </w:r>
      <w:r w:rsidR="00A66C91">
        <w:rPr>
          <w:lang w:val="sv-SE"/>
        </w:rPr>
        <w:t>.</w:t>
      </w:r>
    </w:p>
    <w:p w14:paraId="6112DBBE" w14:textId="77777777" w:rsidR="00F47C5B" w:rsidRPr="00207324" w:rsidRDefault="00F47C5B" w:rsidP="002617F7">
      <w:pPr>
        <w:tabs>
          <w:tab w:val="left" w:leader="dot" w:pos="9072"/>
        </w:tabs>
        <w:spacing w:before="60" w:after="60" w:line="400" w:lineRule="exact"/>
        <w:ind w:firstLine="720"/>
        <w:jc w:val="both"/>
        <w:rPr>
          <w:lang w:val="sv-SE"/>
        </w:rPr>
      </w:pPr>
      <w:r w:rsidRPr="00207324">
        <w:rPr>
          <w:lang w:val="sv-SE"/>
        </w:rPr>
        <w:t>- Liên hệ với UBND huyện Bình Xuyên để được hướng dẫn, hỗ trợ thực hiện thủ tục bồi thường, giải phóng mặt bằng đối với phần diện tích đất còn lại.</w:t>
      </w:r>
    </w:p>
    <w:p w14:paraId="2B84EA55" w14:textId="77777777" w:rsidR="00F47C5B" w:rsidRPr="00207324" w:rsidRDefault="002476FD" w:rsidP="002617F7">
      <w:pPr>
        <w:tabs>
          <w:tab w:val="left" w:leader="dot" w:pos="9072"/>
        </w:tabs>
        <w:spacing w:before="60" w:after="60" w:line="400" w:lineRule="exact"/>
        <w:ind w:firstLine="720"/>
        <w:jc w:val="both"/>
        <w:rPr>
          <w:lang w:val="sv-SE"/>
        </w:rPr>
      </w:pPr>
      <w:r w:rsidRPr="00207324">
        <w:rPr>
          <w:lang w:val="sv-SE"/>
        </w:rPr>
        <w:lastRenderedPageBreak/>
        <w:t>4</w:t>
      </w:r>
      <w:r w:rsidR="00F47C5B" w:rsidRPr="00207324">
        <w:rPr>
          <w:lang w:val="sv-SE"/>
        </w:rPr>
        <w:t>. Nghiêm chỉnh thực hiện chế độ báo cáo theo định kỳ về tình hình thực hiện Dự án theo quy định của Luật Đầu tư; chế độ báo cáo giám sát đánh giá đầu tư theo quy định tại Nghị định số 29/2021/NĐ-CP ngày 26/3/2021 của Chính phủ quy định về trình tự, thủ tục thẩm định dự án quan trọng quốc gia và giám sát, đánh giá đầu tư; chịu trách nhiệm về tính chính xác, trung thực của nội dung báo cáo và chịu mọi hậu quả phát sinh theo quy định của pháp luật hiện hành nếu không thực hiện báo cáo hay báo cáo sai sự thực.</w:t>
      </w:r>
    </w:p>
    <w:p w14:paraId="251E7E58" w14:textId="6EF2606A" w:rsidR="00F47C5B" w:rsidRPr="00A66C91" w:rsidRDefault="0087499F" w:rsidP="002617F7">
      <w:pPr>
        <w:tabs>
          <w:tab w:val="left" w:pos="3544"/>
        </w:tabs>
        <w:spacing w:before="60" w:after="60" w:line="400" w:lineRule="exact"/>
        <w:ind w:right="-28" w:firstLine="709"/>
        <w:jc w:val="both"/>
        <w:rPr>
          <w:lang w:val="sv-SE"/>
        </w:rPr>
      </w:pPr>
      <w:r w:rsidRPr="00A66C91">
        <w:rPr>
          <w:shd w:val="clear" w:color="auto" w:fill="FFFFFF"/>
          <w:lang w:val="sv-SE"/>
        </w:rPr>
        <w:t>5</w:t>
      </w:r>
      <w:r w:rsidR="00F47C5B" w:rsidRPr="00A66C91">
        <w:rPr>
          <w:shd w:val="clear" w:color="auto" w:fill="FFFFFF"/>
          <w:lang w:val="sv-SE"/>
        </w:rPr>
        <w:t xml:space="preserve">. Có trách nhiệm chủ động nhận dạng, phân tích, đánh giá, có biện pháp kiểm soát và giảm thiểu các tác động, rủi ro nhằm đảm bảo khả thi, hiệu quả của dự án; </w:t>
      </w:r>
      <w:r w:rsidR="00F47C5B" w:rsidRPr="00A66C91">
        <w:rPr>
          <w:lang w:val="sv-SE"/>
        </w:rPr>
        <w:t>có trách nhiệm huy động các nguồn vốn tham gia đầu tư theo tiến độ được chấp thuận và hiệu quả của dự án, tuân thủ theo tiến độ thực hiện dự án được chấp thuận điều chỉnh, nếu dự án không tiến hành theo đúng tiến độ sẽ bị chấm dứt hoạt động theo quy định của pháp luật.</w:t>
      </w:r>
    </w:p>
    <w:p w14:paraId="6B7C5092" w14:textId="6BF1A5A6" w:rsidR="00E07D3F" w:rsidRPr="00207324" w:rsidRDefault="00E07D3F" w:rsidP="002617F7">
      <w:pPr>
        <w:spacing w:before="60" w:after="60" w:line="400" w:lineRule="exact"/>
        <w:ind w:firstLine="720"/>
        <w:jc w:val="both"/>
        <w:rPr>
          <w:lang w:val="sv-SE"/>
        </w:rPr>
      </w:pPr>
      <w:r w:rsidRPr="00207324">
        <w:rPr>
          <w:lang w:val="sv-SE"/>
        </w:rPr>
        <w:t>6. Thực hiện nộp bổ sung số tiền ký quỹ hoặc bổ sung bảo lãnh ký quỹ của tổ chức tín dụng tương ứng với số vốn đầu tư tăng theo quy định.</w:t>
      </w:r>
    </w:p>
    <w:p w14:paraId="1B2BCE8D" w14:textId="002F15FC" w:rsidR="00E07D3F" w:rsidRPr="00207324" w:rsidRDefault="00E07D3F" w:rsidP="002617F7">
      <w:pPr>
        <w:spacing w:before="60" w:after="60" w:line="400" w:lineRule="exact"/>
        <w:ind w:firstLine="720"/>
        <w:jc w:val="both"/>
        <w:rPr>
          <w:lang w:val="sv-SE"/>
        </w:rPr>
      </w:pPr>
      <w:r w:rsidRPr="00207324">
        <w:rPr>
          <w:lang w:val="sv-SE"/>
        </w:rPr>
        <w:t>7. Góp đủ vốn chủ sở hữu đảm bảo đáp ứng tối thiểu 15% tổng vốn đầu tư trong vòng 15 ngày làm việc kể từ ngày được chấp thuận điều chỉnh chủ trương đầu tư. Sau thời gian 15 ngày làm việc không có báo cáo chứng minh việc góp đủ vốn thực hiện dự án, cơ quan đăng ký đầu tư sẽ thông báo tạm dừng hoạt động dự án cho đến khi Nhà đầu tư đáp ứng điều kiện theo quy định.</w:t>
      </w:r>
    </w:p>
    <w:p w14:paraId="1DE1CA0A" w14:textId="0E1D9D7E" w:rsidR="00205FEC" w:rsidRPr="00207324" w:rsidRDefault="00E07D3F" w:rsidP="002617F7">
      <w:pPr>
        <w:tabs>
          <w:tab w:val="left" w:leader="dot" w:pos="9072"/>
        </w:tabs>
        <w:spacing w:before="60" w:after="60" w:line="400" w:lineRule="exact"/>
        <w:ind w:firstLine="720"/>
        <w:jc w:val="both"/>
        <w:rPr>
          <w:lang w:val="sv-SE"/>
        </w:rPr>
      </w:pPr>
      <w:r w:rsidRPr="00207324">
        <w:rPr>
          <w:lang w:val="sv-SE"/>
        </w:rPr>
        <w:t>8</w:t>
      </w:r>
      <w:r w:rsidR="00F47C5B" w:rsidRPr="00207324">
        <w:rPr>
          <w:lang w:val="sv-SE"/>
        </w:rPr>
        <w:t xml:space="preserve">. </w:t>
      </w:r>
      <w:r w:rsidR="00205FEC" w:rsidRPr="00207324">
        <w:rPr>
          <w:lang w:val="sv-SE"/>
        </w:rPr>
        <w:t>D</w:t>
      </w:r>
      <w:r w:rsidR="00F47C5B" w:rsidRPr="00207324">
        <w:rPr>
          <w:lang w:val="sv-SE"/>
        </w:rPr>
        <w:t>ự án đầu tư</w:t>
      </w:r>
      <w:r w:rsidR="00205FEC" w:rsidRPr="00207324">
        <w:rPr>
          <w:lang w:val="sv-SE"/>
        </w:rPr>
        <w:t xml:space="preserve"> sẽ bị chấm dứt hoạt động hoặc chấm dứt hoạt động một phần</w:t>
      </w:r>
      <w:r w:rsidR="00F47C5B" w:rsidRPr="00207324">
        <w:rPr>
          <w:lang w:val="sv-SE"/>
        </w:rPr>
        <w:t xml:space="preserve"> trong các trường hợp quy định tại Điều 48 Luật Đầu tư.</w:t>
      </w:r>
      <w:r w:rsidR="00205FEC" w:rsidRPr="00207324">
        <w:rPr>
          <w:lang w:val="sv-SE"/>
        </w:rPr>
        <w:t xml:space="preserve"> </w:t>
      </w:r>
    </w:p>
    <w:p w14:paraId="7A10B3D3" w14:textId="77777777" w:rsidR="00F47C5B" w:rsidRPr="00207324" w:rsidRDefault="00F47C5B" w:rsidP="002617F7">
      <w:pPr>
        <w:tabs>
          <w:tab w:val="left" w:leader="dot" w:pos="9072"/>
        </w:tabs>
        <w:spacing w:before="60" w:after="60" w:line="400" w:lineRule="exact"/>
        <w:ind w:firstLine="720"/>
        <w:jc w:val="both"/>
        <w:rPr>
          <w:b/>
          <w:lang w:val="sv-SE"/>
        </w:rPr>
      </w:pPr>
      <w:r w:rsidRPr="00207324">
        <w:rPr>
          <w:b/>
          <w:lang w:val="sv-SE"/>
        </w:rPr>
        <w:t>Điều 3. Trách nhiệm của các cơ quan liên quan</w:t>
      </w:r>
    </w:p>
    <w:p w14:paraId="6DCFAFD1" w14:textId="5AF4CB2D" w:rsidR="00F47C5B" w:rsidRPr="00207324" w:rsidRDefault="00F47C5B" w:rsidP="002617F7">
      <w:pPr>
        <w:spacing w:before="60" w:after="60" w:line="400" w:lineRule="exact"/>
        <w:ind w:firstLine="720"/>
        <w:jc w:val="both"/>
        <w:rPr>
          <w:lang w:val="sv-SE"/>
        </w:rPr>
      </w:pPr>
      <w:r w:rsidRPr="00207324">
        <w:rPr>
          <w:lang w:val="sv-SE"/>
        </w:rPr>
        <w:t xml:space="preserve">1. Sở </w:t>
      </w:r>
      <w:r w:rsidR="0087499F" w:rsidRPr="00207324">
        <w:rPr>
          <w:lang w:val="sv-SE"/>
        </w:rPr>
        <w:t>Tài chính</w:t>
      </w:r>
      <w:r w:rsidRPr="00207324">
        <w:rPr>
          <w:lang w:val="sv-SE"/>
        </w:rPr>
        <w:t xml:space="preserve"> thực hiện </w:t>
      </w:r>
      <w:r w:rsidR="00A66C91">
        <w:rPr>
          <w:lang w:val="sv-SE"/>
        </w:rPr>
        <w:t>cấp giấy chứng nhận đăng ký đầu tư điều chỉnh theo quy định sau khi có chấp thuận điều chỉnh</w:t>
      </w:r>
      <w:r w:rsidR="00A66C91" w:rsidRPr="00A66C91">
        <w:rPr>
          <w:lang w:val="sv-SE"/>
        </w:rPr>
        <w:t xml:space="preserve"> </w:t>
      </w:r>
      <w:r w:rsidR="00A66C91">
        <w:rPr>
          <w:lang w:val="sv-SE"/>
        </w:rPr>
        <w:t xml:space="preserve">chủ trương đầu tư, </w:t>
      </w:r>
      <w:r w:rsidRPr="00207324">
        <w:rPr>
          <w:lang w:val="sv-SE"/>
        </w:rPr>
        <w:t>giám sát đánh giá đầu tư đối với dự án theo quy định của pháp luật</w:t>
      </w:r>
      <w:r w:rsidR="0087499F" w:rsidRPr="00207324">
        <w:rPr>
          <w:lang w:val="sv-SE"/>
        </w:rPr>
        <w:t>; hướng dẫn nhà đầu tư thực hiện thủ tục bảo đảm thực hiện dự án đầu tư theo quy định</w:t>
      </w:r>
      <w:r w:rsidR="00CA1F94" w:rsidRPr="00207324">
        <w:rPr>
          <w:lang w:val="sv-SE"/>
        </w:rPr>
        <w:t>.</w:t>
      </w:r>
    </w:p>
    <w:p w14:paraId="5398E307" w14:textId="77777777" w:rsidR="00F47C5B" w:rsidRPr="00207324" w:rsidRDefault="00F47C5B" w:rsidP="002617F7">
      <w:pPr>
        <w:spacing w:before="60" w:after="60" w:line="400" w:lineRule="exact"/>
        <w:ind w:firstLine="720"/>
        <w:jc w:val="both"/>
        <w:rPr>
          <w:lang w:val="sv-SE"/>
        </w:rPr>
      </w:pPr>
      <w:r w:rsidRPr="00207324">
        <w:rPr>
          <w:lang w:val="sv-SE"/>
        </w:rPr>
        <w:t xml:space="preserve">2. Sở Xây dựng hướng dẫn </w:t>
      </w:r>
      <w:r w:rsidR="00E23F8A" w:rsidRPr="00207324">
        <w:rPr>
          <w:lang w:val="sv-SE"/>
        </w:rPr>
        <w:t>n</w:t>
      </w:r>
      <w:r w:rsidRPr="00207324">
        <w:rPr>
          <w:lang w:val="sv-SE"/>
        </w:rPr>
        <w:t xml:space="preserve">hà đầu tư thực hiện thủ tục </w:t>
      </w:r>
      <w:r w:rsidR="00CA1F94" w:rsidRPr="00207324">
        <w:rPr>
          <w:lang w:val="sv-SE"/>
        </w:rPr>
        <w:t xml:space="preserve">về đầu tư </w:t>
      </w:r>
      <w:r w:rsidRPr="00207324">
        <w:rPr>
          <w:lang w:val="sv-SE"/>
        </w:rPr>
        <w:t>xây dựng,</w:t>
      </w:r>
      <w:r w:rsidR="00CA1F94" w:rsidRPr="00207324">
        <w:rPr>
          <w:lang w:val="sv-SE"/>
        </w:rPr>
        <w:t xml:space="preserve"> kinh doanh bất động sản, theo dõi, kiểm tra việc đáp ứng điều kiện kinh doanh bất động sản đối với nhà đầu tư</w:t>
      </w:r>
      <w:r w:rsidRPr="00207324">
        <w:rPr>
          <w:lang w:val="sv-SE"/>
        </w:rPr>
        <w:t>.</w:t>
      </w:r>
    </w:p>
    <w:p w14:paraId="2B4A785C" w14:textId="77777777" w:rsidR="00F47C5B" w:rsidRPr="00207324" w:rsidRDefault="00F47C5B" w:rsidP="002617F7">
      <w:pPr>
        <w:spacing w:before="60" w:after="60" w:line="400" w:lineRule="exact"/>
        <w:ind w:firstLine="720"/>
        <w:jc w:val="both"/>
        <w:rPr>
          <w:lang w:val="sv-SE"/>
        </w:rPr>
      </w:pPr>
      <w:r w:rsidRPr="00207324">
        <w:rPr>
          <w:lang w:val="sv-SE"/>
        </w:rPr>
        <w:t xml:space="preserve">3. Sở </w:t>
      </w:r>
      <w:r w:rsidR="00AE4BFE" w:rsidRPr="00207324">
        <w:rPr>
          <w:lang w:val="sv-SE"/>
        </w:rPr>
        <w:t>Nông nghiệp</w:t>
      </w:r>
      <w:r w:rsidRPr="00207324">
        <w:rPr>
          <w:lang w:val="sv-SE"/>
        </w:rPr>
        <w:t xml:space="preserve"> và Môi trường thẩm định điều kiện giao đất, cho thuê đất, cho phép chuyển mục đích sử dụng đất; hướng dẫn Nhà đầu tư thực hiện các thủ tục về môi trường, đất đai theo quy định của pháp luật; đẩy nhanh tiến độ thực </w:t>
      </w:r>
      <w:r w:rsidRPr="00207324">
        <w:rPr>
          <w:lang w:val="sv-SE"/>
        </w:rPr>
        <w:lastRenderedPageBreak/>
        <w:t>hiện thủ tục giao đất, cho thuê đất, cho phép chuyển mục đích sử dụng đất</w:t>
      </w:r>
      <w:r w:rsidR="00AE4BFE" w:rsidRPr="00207324">
        <w:rPr>
          <w:lang w:val="sv-SE"/>
        </w:rPr>
        <w:t>, tính tiền thuê đất</w:t>
      </w:r>
      <w:r w:rsidRPr="00207324">
        <w:rPr>
          <w:lang w:val="sv-SE"/>
        </w:rPr>
        <w:t xml:space="preserve"> đối với dự án.</w:t>
      </w:r>
    </w:p>
    <w:p w14:paraId="62F81BB7" w14:textId="77777777" w:rsidR="00F47C5B" w:rsidRPr="00D1106D" w:rsidRDefault="00F47C5B" w:rsidP="002617F7">
      <w:pPr>
        <w:spacing w:before="60" w:after="60" w:line="400" w:lineRule="exact"/>
        <w:ind w:firstLine="720"/>
        <w:jc w:val="both"/>
        <w:rPr>
          <w:lang w:val="nb-NO"/>
        </w:rPr>
      </w:pPr>
      <w:r w:rsidRPr="00D1106D">
        <w:rPr>
          <w:lang w:val="nb-NO"/>
        </w:rPr>
        <w:t>4.</w:t>
      </w:r>
      <w:r w:rsidRPr="00207324">
        <w:rPr>
          <w:lang w:val="sv-SE"/>
        </w:rPr>
        <w:t xml:space="preserve"> </w:t>
      </w:r>
      <w:r w:rsidRPr="00D1106D">
        <w:rPr>
          <w:lang w:val="nb-NO"/>
        </w:rPr>
        <w:t xml:space="preserve">Công an tỉnh </w:t>
      </w:r>
      <w:r w:rsidRPr="00207324">
        <w:rPr>
          <w:lang w:val="sv-SE"/>
        </w:rPr>
        <w:t xml:space="preserve">hướng dẫn </w:t>
      </w:r>
      <w:r w:rsidR="00E23F8A" w:rsidRPr="00207324">
        <w:rPr>
          <w:lang w:val="sv-SE"/>
        </w:rPr>
        <w:t>n</w:t>
      </w:r>
      <w:r w:rsidRPr="00207324">
        <w:rPr>
          <w:lang w:val="sv-SE"/>
        </w:rPr>
        <w:t xml:space="preserve">hà đầu tư thực hiện các thủ tục </w:t>
      </w:r>
      <w:r w:rsidRPr="00D1106D">
        <w:rPr>
          <w:lang w:val="nb-NO"/>
        </w:rPr>
        <w:t>về p</w:t>
      </w:r>
      <w:r w:rsidRPr="00207324">
        <w:rPr>
          <w:lang w:val="sv-SE"/>
        </w:rPr>
        <w:t xml:space="preserve">hòng cháy và chữa cháy theo </w:t>
      </w:r>
      <w:r w:rsidRPr="00D1106D">
        <w:rPr>
          <w:lang w:val="nb-NO"/>
        </w:rPr>
        <w:t>quy định của pháp luật.</w:t>
      </w:r>
    </w:p>
    <w:p w14:paraId="634C2175" w14:textId="058114DE" w:rsidR="00F47C5B" w:rsidRDefault="00F47C5B" w:rsidP="002617F7">
      <w:pPr>
        <w:spacing w:before="60" w:after="60" w:line="400" w:lineRule="exact"/>
        <w:ind w:firstLine="720"/>
        <w:jc w:val="both"/>
        <w:rPr>
          <w:lang w:val="nb-NO"/>
        </w:rPr>
      </w:pPr>
      <w:bookmarkStart w:id="3" w:name="_Hlk131926116"/>
      <w:r w:rsidRPr="00207324">
        <w:rPr>
          <w:lang w:val="nb-NO"/>
        </w:rPr>
        <w:t xml:space="preserve">5. UBND huyện Bình Xuyên hướng dẫn </w:t>
      </w:r>
      <w:r w:rsidR="00E23F8A" w:rsidRPr="00207324">
        <w:rPr>
          <w:lang w:val="nb-NO"/>
        </w:rPr>
        <w:t>n</w:t>
      </w:r>
      <w:r w:rsidRPr="00207324">
        <w:rPr>
          <w:lang w:val="nb-NO"/>
        </w:rPr>
        <w:t xml:space="preserve">hà đầu tư trong quá trình thực hiện </w:t>
      </w:r>
      <w:r w:rsidRPr="00D1106D">
        <w:rPr>
          <w:lang w:val="nb-NO"/>
        </w:rPr>
        <w:t xml:space="preserve">các thủ tục </w:t>
      </w:r>
      <w:r w:rsidR="004457AE" w:rsidRPr="00207324">
        <w:rPr>
          <w:lang w:val="nb-NO"/>
        </w:rPr>
        <w:t>bồi thường, giải phóng mặt bằng và các thủ tục có liên quan</w:t>
      </w:r>
      <w:r w:rsidRPr="00207324">
        <w:rPr>
          <w:lang w:val="nb-NO"/>
        </w:rPr>
        <w:t xml:space="preserve"> theo quy định của pháp luật để đáp ứng tiến độ điều chỉnh của dự án.</w:t>
      </w:r>
    </w:p>
    <w:bookmarkEnd w:id="3"/>
    <w:p w14:paraId="7AAC6782" w14:textId="77777777" w:rsidR="00F47C5B" w:rsidRPr="00207324" w:rsidRDefault="00F47C5B" w:rsidP="002617F7">
      <w:pPr>
        <w:tabs>
          <w:tab w:val="left" w:leader="dot" w:pos="9072"/>
        </w:tabs>
        <w:spacing w:before="60" w:after="60" w:line="400" w:lineRule="exact"/>
        <w:ind w:firstLine="720"/>
        <w:jc w:val="both"/>
        <w:rPr>
          <w:b/>
          <w:lang w:val="nb-NO"/>
        </w:rPr>
      </w:pPr>
      <w:r w:rsidRPr="00207324">
        <w:rPr>
          <w:b/>
          <w:lang w:val="nb-NO"/>
        </w:rPr>
        <w:t>Điều 4. Điều khoản thi hành</w:t>
      </w:r>
    </w:p>
    <w:p w14:paraId="430BD68B" w14:textId="77777777" w:rsidR="00F47C5B" w:rsidRPr="00207324" w:rsidRDefault="00F47C5B" w:rsidP="002617F7">
      <w:pPr>
        <w:tabs>
          <w:tab w:val="left" w:leader="dot" w:pos="9072"/>
        </w:tabs>
        <w:spacing w:before="60" w:after="60" w:line="400" w:lineRule="exact"/>
        <w:ind w:firstLine="720"/>
        <w:jc w:val="both"/>
        <w:rPr>
          <w:lang w:val="nb-NO"/>
        </w:rPr>
      </w:pPr>
      <w:r w:rsidRPr="00207324">
        <w:rPr>
          <w:lang w:val="nb-NO"/>
        </w:rPr>
        <w:t xml:space="preserve">1. Quyết định chấp thuận điều chỉnh chủ trương đầu tư này có hiệu lực kể từ ngày ký và là một bộ phận không tách rời của </w:t>
      </w:r>
      <w:r w:rsidRPr="00207324">
        <w:rPr>
          <w:color w:val="000000" w:themeColor="text1"/>
          <w:lang w:val="nb-NO"/>
        </w:rPr>
        <w:t xml:space="preserve">Quyết định số </w:t>
      </w:r>
      <w:r w:rsidR="00E23F8A" w:rsidRPr="00207324">
        <w:rPr>
          <w:color w:val="000000"/>
          <w:lang w:val="nb-NO"/>
        </w:rPr>
        <w:t>2768/QĐ-UBND ngày 12/11/2020</w:t>
      </w:r>
      <w:r w:rsidRPr="00207324">
        <w:rPr>
          <w:color w:val="000000" w:themeColor="text1"/>
          <w:lang w:val="nb-NO"/>
        </w:rPr>
        <w:t xml:space="preserve"> của UBND tỉnh Vĩnh Phúc</w:t>
      </w:r>
      <w:r w:rsidRPr="00207324">
        <w:rPr>
          <w:lang w:val="nb-NO"/>
        </w:rPr>
        <w:t>.</w:t>
      </w:r>
    </w:p>
    <w:p w14:paraId="38327720" w14:textId="77777777" w:rsidR="00F47C5B" w:rsidRPr="00207324" w:rsidRDefault="00F47C5B" w:rsidP="002617F7">
      <w:pPr>
        <w:tabs>
          <w:tab w:val="left" w:leader="dot" w:pos="9072"/>
        </w:tabs>
        <w:spacing w:before="60" w:after="60" w:line="400" w:lineRule="exact"/>
        <w:ind w:firstLine="720"/>
        <w:jc w:val="both"/>
        <w:rPr>
          <w:lang w:val="nb-NO"/>
        </w:rPr>
      </w:pPr>
      <w:r w:rsidRPr="00207324">
        <w:rPr>
          <w:lang w:val="nb-NO"/>
        </w:rPr>
        <w:t>2. Công ty Cổ phần T&amp;Y Superport Vĩnh Phúc chịu trách nhiệm thi hành Quyết định này.</w:t>
      </w:r>
    </w:p>
    <w:p w14:paraId="0310DE4C" w14:textId="5A740375" w:rsidR="00F47C5B" w:rsidRDefault="00F47C5B" w:rsidP="002617F7">
      <w:pPr>
        <w:spacing w:before="60" w:after="60" w:line="400" w:lineRule="exact"/>
        <w:ind w:right="-27" w:firstLine="720"/>
        <w:contextualSpacing/>
        <w:jc w:val="both"/>
        <w:rPr>
          <w:lang w:val="nb-NO"/>
        </w:rPr>
      </w:pPr>
      <w:r w:rsidRPr="00207324">
        <w:rPr>
          <w:lang w:val="nb-NO"/>
        </w:rPr>
        <w:t>3. Quyết định</w:t>
      </w:r>
      <w:r w:rsidRPr="00207324">
        <w:rPr>
          <w:b/>
          <w:lang w:val="nb-NO"/>
        </w:rPr>
        <w:t xml:space="preserve"> </w:t>
      </w:r>
      <w:r w:rsidRPr="00207324">
        <w:rPr>
          <w:lang w:val="nb-NO"/>
        </w:rPr>
        <w:t xml:space="preserve">này được lập thành 03 (ba) bản, một bản gửi cho Công ty Cổ phần T&amp;Y Superport Vĩnh Phúc, một bản bản gửi Sở </w:t>
      </w:r>
      <w:r w:rsidR="00E23F8A" w:rsidRPr="00207324">
        <w:rPr>
          <w:lang w:val="nb-NO"/>
        </w:rPr>
        <w:t>Tài chính</w:t>
      </w:r>
      <w:r w:rsidRPr="00207324">
        <w:rPr>
          <w:lang w:val="nb-NO"/>
        </w:rPr>
        <w:t xml:space="preserve"> tỉnh Vĩnh Phúc và một bản được lưu tại UBND tỉnh Vĩnh Phúc./.</w:t>
      </w:r>
    </w:p>
    <w:p w14:paraId="2FB572D3" w14:textId="075606FC" w:rsidR="002617F7" w:rsidRDefault="002617F7" w:rsidP="002617F7">
      <w:pPr>
        <w:spacing w:before="60" w:after="60" w:line="400" w:lineRule="exact"/>
        <w:ind w:right="-27"/>
        <w:contextualSpacing/>
        <w:jc w:val="both"/>
        <w:rPr>
          <w:lang w:val="nb-NO"/>
        </w:rPr>
      </w:pPr>
    </w:p>
    <w:p w14:paraId="71D989E4" w14:textId="77777777" w:rsidR="002617F7" w:rsidRPr="005C0803" w:rsidRDefault="002617F7" w:rsidP="002617F7">
      <w:pPr>
        <w:framePr w:hSpace="180" w:wrap="around" w:vAnchor="text" w:hAnchor="text" w:xAlign="right" w:y="1"/>
        <w:spacing w:before="120"/>
        <w:ind w:left="3600"/>
        <w:contextualSpacing/>
        <w:suppressOverlap/>
        <w:jc w:val="center"/>
        <w:rPr>
          <w:b/>
          <w:color w:val="000000"/>
          <w:szCs w:val="26"/>
          <w:lang w:val="nb-NO"/>
        </w:rPr>
      </w:pPr>
      <w:r w:rsidRPr="005C0803">
        <w:rPr>
          <w:b/>
          <w:color w:val="000000"/>
          <w:szCs w:val="26"/>
          <w:lang w:val="nb-NO"/>
        </w:rPr>
        <w:t>TM.</w:t>
      </w:r>
      <w:r>
        <w:rPr>
          <w:b/>
          <w:color w:val="000000"/>
          <w:szCs w:val="26"/>
          <w:lang w:val="nb-NO"/>
        </w:rPr>
        <w:t xml:space="preserve"> </w:t>
      </w:r>
      <w:r w:rsidRPr="005C0803">
        <w:rPr>
          <w:b/>
          <w:color w:val="000000"/>
          <w:szCs w:val="26"/>
          <w:lang w:val="nb-NO"/>
        </w:rPr>
        <w:t>UỶ BAN NHÂN DÂN</w:t>
      </w:r>
    </w:p>
    <w:p w14:paraId="418BF520" w14:textId="77777777" w:rsidR="002617F7" w:rsidRPr="005C0803" w:rsidRDefault="002617F7" w:rsidP="002617F7">
      <w:pPr>
        <w:framePr w:hSpace="180" w:wrap="around" w:vAnchor="text" w:hAnchor="text" w:xAlign="right" w:y="1"/>
        <w:ind w:left="3600"/>
        <w:contextualSpacing/>
        <w:suppressOverlap/>
        <w:jc w:val="center"/>
        <w:rPr>
          <w:b/>
          <w:color w:val="000000"/>
          <w:szCs w:val="26"/>
          <w:lang w:val="nb-NO"/>
        </w:rPr>
      </w:pPr>
      <w:r w:rsidRPr="005C0803">
        <w:rPr>
          <w:b/>
          <w:color w:val="000000"/>
          <w:szCs w:val="26"/>
          <w:lang w:val="nb-NO"/>
        </w:rPr>
        <w:t>CHỦ TỊCH</w:t>
      </w:r>
    </w:p>
    <w:p w14:paraId="3147ABDC" w14:textId="77777777" w:rsidR="002617F7" w:rsidRDefault="002617F7" w:rsidP="002617F7">
      <w:pPr>
        <w:framePr w:hSpace="180" w:wrap="around" w:vAnchor="text" w:hAnchor="text" w:xAlign="right" w:y="1"/>
        <w:ind w:left="3600"/>
        <w:contextualSpacing/>
        <w:suppressOverlap/>
        <w:jc w:val="center"/>
        <w:rPr>
          <w:b/>
          <w:color w:val="000000"/>
          <w:szCs w:val="26"/>
          <w:lang w:val="nb-NO"/>
        </w:rPr>
      </w:pPr>
    </w:p>
    <w:p w14:paraId="0A56ADB8" w14:textId="2598EB98" w:rsidR="002617F7" w:rsidRPr="00207324" w:rsidRDefault="002617F7" w:rsidP="002617F7">
      <w:pPr>
        <w:spacing w:before="60" w:after="60" w:line="400" w:lineRule="exact"/>
        <w:ind w:left="3600" w:right="-27"/>
        <w:contextualSpacing/>
        <w:jc w:val="center"/>
        <w:rPr>
          <w:lang w:val="nb-NO"/>
        </w:rPr>
      </w:pPr>
      <w:r>
        <w:rPr>
          <w:b/>
          <w:bCs/>
          <w:color w:val="000000"/>
          <w:szCs w:val="26"/>
          <w:lang w:val="nb-NO"/>
        </w:rPr>
        <w:t>Trần Duy Đông</w:t>
      </w:r>
    </w:p>
    <w:p w14:paraId="392CAAA7" w14:textId="77777777" w:rsidR="00F47C5B" w:rsidRPr="005C0803" w:rsidRDefault="00F47C5B" w:rsidP="00F47C5B">
      <w:pPr>
        <w:spacing w:before="120" w:after="120"/>
        <w:ind w:right="-27" w:firstLine="709"/>
        <w:contextualSpacing/>
        <w:jc w:val="both"/>
        <w:rPr>
          <w:bCs/>
          <w:lang w:val="nb-NO"/>
        </w:rPr>
      </w:pPr>
    </w:p>
    <w:p w14:paraId="4DE9091C" w14:textId="08EEB744" w:rsidR="0068394C" w:rsidRPr="00207324" w:rsidRDefault="00A66C91" w:rsidP="00F47C5B">
      <w:pPr>
        <w:tabs>
          <w:tab w:val="center" w:pos="284"/>
        </w:tabs>
        <w:spacing w:before="120" w:after="80"/>
        <w:contextualSpacing/>
        <w:jc w:val="both"/>
        <w:rPr>
          <w:sz w:val="22"/>
          <w:szCs w:val="22"/>
          <w:lang w:val="nl-NL"/>
        </w:rPr>
      </w:pPr>
      <w:r>
        <w:rPr>
          <w:sz w:val="22"/>
          <w:szCs w:val="22"/>
          <w:lang w:val="nl-NL"/>
        </w:rPr>
        <w:t xml:space="preserve"> </w:t>
      </w:r>
    </w:p>
    <w:p w14:paraId="000F64DF" w14:textId="77777777" w:rsidR="008969BA" w:rsidRPr="00207324" w:rsidRDefault="001256FA">
      <w:pPr>
        <w:rPr>
          <w:lang w:val="nl-NL"/>
        </w:rPr>
      </w:pPr>
    </w:p>
    <w:sectPr w:rsidR="008969BA" w:rsidRPr="00207324" w:rsidSect="002617F7">
      <w:headerReference w:type="default" r:id="rId7"/>
      <w:footerReference w:type="default" r:id="rId8"/>
      <w:pgSz w:w="11907" w:h="16840" w:code="9"/>
      <w:pgMar w:top="1440" w:right="1440" w:bottom="1440" w:left="1440" w:header="720" w:footer="352"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CC3D7C" w14:textId="77777777" w:rsidR="001256FA" w:rsidRDefault="001256FA">
      <w:r>
        <w:separator/>
      </w:r>
    </w:p>
  </w:endnote>
  <w:endnote w:type="continuationSeparator" w:id="0">
    <w:p w14:paraId="223B7228" w14:textId="77777777" w:rsidR="001256FA" w:rsidRDefault="001256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H">
    <w:altName w:val="Courier New"/>
    <w:charset w:val="00"/>
    <w:family w:val="swiss"/>
    <w:pitch w:val="variable"/>
    <w:sig w:usb0="00000003" w:usb1="00000000" w:usb2="00000000" w:usb3="00000000" w:csb0="00000001" w:csb1="00000000"/>
  </w:font>
  <w:font w:name=".VnTime">
    <w:altName w:val="Courier New"/>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D446B0" w14:textId="67E26173" w:rsidR="00207324" w:rsidRDefault="00207324">
    <w:pPr>
      <w:pStyle w:val="Footer"/>
      <w:jc w:val="center"/>
    </w:pPr>
  </w:p>
  <w:p w14:paraId="5F765645" w14:textId="77777777" w:rsidR="00207324" w:rsidRDefault="0020732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839BDE" w14:textId="77777777" w:rsidR="001256FA" w:rsidRDefault="001256FA">
      <w:r>
        <w:separator/>
      </w:r>
    </w:p>
  </w:footnote>
  <w:footnote w:type="continuationSeparator" w:id="0">
    <w:p w14:paraId="241CE0D7" w14:textId="77777777" w:rsidR="001256FA" w:rsidRDefault="001256F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E827DD" w14:textId="7A2C97FD" w:rsidR="003E78A2" w:rsidRDefault="001256FA" w:rsidP="003E78A2">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7C5B"/>
    <w:rsid w:val="000C235C"/>
    <w:rsid w:val="000E3486"/>
    <w:rsid w:val="0011420E"/>
    <w:rsid w:val="0012156E"/>
    <w:rsid w:val="001256FA"/>
    <w:rsid w:val="001C1D99"/>
    <w:rsid w:val="00205FEC"/>
    <w:rsid w:val="00207324"/>
    <w:rsid w:val="002476FD"/>
    <w:rsid w:val="002617F7"/>
    <w:rsid w:val="00286BB3"/>
    <w:rsid w:val="002F7E5A"/>
    <w:rsid w:val="003649C0"/>
    <w:rsid w:val="003D003C"/>
    <w:rsid w:val="00404111"/>
    <w:rsid w:val="004457AE"/>
    <w:rsid w:val="004F4CA5"/>
    <w:rsid w:val="005335B8"/>
    <w:rsid w:val="005C13A0"/>
    <w:rsid w:val="005D1CF6"/>
    <w:rsid w:val="005D7A75"/>
    <w:rsid w:val="006109CB"/>
    <w:rsid w:val="0068394C"/>
    <w:rsid w:val="006E3395"/>
    <w:rsid w:val="007A4C96"/>
    <w:rsid w:val="007D7390"/>
    <w:rsid w:val="007E6DEB"/>
    <w:rsid w:val="00812425"/>
    <w:rsid w:val="0083084A"/>
    <w:rsid w:val="0087499F"/>
    <w:rsid w:val="00874ED6"/>
    <w:rsid w:val="008D2DFF"/>
    <w:rsid w:val="008F6303"/>
    <w:rsid w:val="00922CB7"/>
    <w:rsid w:val="009343FF"/>
    <w:rsid w:val="00941DD3"/>
    <w:rsid w:val="009A2C82"/>
    <w:rsid w:val="009F048E"/>
    <w:rsid w:val="00A66C91"/>
    <w:rsid w:val="00A71780"/>
    <w:rsid w:val="00AE2DAE"/>
    <w:rsid w:val="00AE4BFE"/>
    <w:rsid w:val="00AE6944"/>
    <w:rsid w:val="00B83E4E"/>
    <w:rsid w:val="00BA13AD"/>
    <w:rsid w:val="00BE6316"/>
    <w:rsid w:val="00BE6959"/>
    <w:rsid w:val="00C1216B"/>
    <w:rsid w:val="00C1364D"/>
    <w:rsid w:val="00C44414"/>
    <w:rsid w:val="00CA0B33"/>
    <w:rsid w:val="00CA1F94"/>
    <w:rsid w:val="00CA7662"/>
    <w:rsid w:val="00D042FB"/>
    <w:rsid w:val="00D1106D"/>
    <w:rsid w:val="00DB6035"/>
    <w:rsid w:val="00DC00E2"/>
    <w:rsid w:val="00E01A09"/>
    <w:rsid w:val="00E07D3F"/>
    <w:rsid w:val="00E23F8A"/>
    <w:rsid w:val="00E975B2"/>
    <w:rsid w:val="00EC2888"/>
    <w:rsid w:val="00F4211B"/>
    <w:rsid w:val="00F47C5B"/>
    <w:rsid w:val="00F73F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B3BE8B"/>
  <w15:chartTrackingRefBased/>
  <w15:docId w15:val="{D46CE99E-B30D-4A88-9FD3-092D81F0E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7C5B"/>
    <w:pPr>
      <w:spacing w:after="0" w:line="240" w:lineRule="auto"/>
    </w:pPr>
    <w:rPr>
      <w:rFonts w:ascii="Times New Roman" w:eastAsia="Times New Roman" w:hAnsi="Times New Roman" w:cs="Times New Roman"/>
      <w:sz w:val="28"/>
      <w:szCs w:val="28"/>
    </w:rPr>
  </w:style>
  <w:style w:type="paragraph" w:styleId="Heading2">
    <w:name w:val="heading 2"/>
    <w:basedOn w:val="Normal"/>
    <w:next w:val="Normal"/>
    <w:link w:val="Heading2Char"/>
    <w:qFormat/>
    <w:rsid w:val="00BE6959"/>
    <w:pPr>
      <w:keepNext/>
      <w:jc w:val="center"/>
      <w:outlineLvl w:val="1"/>
    </w:pPr>
    <w:rPr>
      <w:rFonts w:ascii=".VnTimeH" w:hAnsi=".VnTimeH"/>
      <w:b/>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F47C5B"/>
    <w:pPr>
      <w:spacing w:before="100" w:beforeAutospacing="1" w:after="100" w:afterAutospacing="1"/>
    </w:pPr>
    <w:rPr>
      <w:sz w:val="24"/>
      <w:szCs w:val="24"/>
    </w:rPr>
  </w:style>
  <w:style w:type="paragraph" w:styleId="BodyTextIndent2">
    <w:name w:val="Body Text Indent 2"/>
    <w:basedOn w:val="Normal"/>
    <w:link w:val="BodyTextIndent2Char"/>
    <w:uiPriority w:val="99"/>
    <w:semiHidden/>
    <w:unhideWhenUsed/>
    <w:rsid w:val="00F47C5B"/>
    <w:pPr>
      <w:spacing w:after="120" w:line="480" w:lineRule="auto"/>
      <w:ind w:left="360"/>
    </w:pPr>
  </w:style>
  <w:style w:type="character" w:customStyle="1" w:styleId="BodyTextIndent2Char">
    <w:name w:val="Body Text Indent 2 Char"/>
    <w:basedOn w:val="DefaultParagraphFont"/>
    <w:link w:val="BodyTextIndent2"/>
    <w:uiPriority w:val="99"/>
    <w:semiHidden/>
    <w:rsid w:val="00F47C5B"/>
    <w:rPr>
      <w:rFonts w:ascii="Times New Roman" w:eastAsia="Times New Roman" w:hAnsi="Times New Roman" w:cs="Times New Roman"/>
      <w:sz w:val="28"/>
      <w:szCs w:val="28"/>
    </w:rPr>
  </w:style>
  <w:style w:type="paragraph" w:styleId="ListParagraph">
    <w:name w:val="List Paragraph"/>
    <w:basedOn w:val="Normal"/>
    <w:uiPriority w:val="34"/>
    <w:qFormat/>
    <w:rsid w:val="00F47C5B"/>
    <w:pPr>
      <w:ind w:left="720"/>
      <w:contextualSpacing/>
    </w:pPr>
    <w:rPr>
      <w:rFonts w:ascii=".VnTime" w:hAnsi=".VnTime"/>
      <w:lang w:eastAsia="vi-VN"/>
    </w:rPr>
  </w:style>
  <w:style w:type="paragraph" w:styleId="Header">
    <w:name w:val="header"/>
    <w:basedOn w:val="Normal"/>
    <w:link w:val="HeaderChar"/>
    <w:uiPriority w:val="99"/>
    <w:unhideWhenUsed/>
    <w:rsid w:val="00F47C5B"/>
    <w:pPr>
      <w:tabs>
        <w:tab w:val="center" w:pos="4680"/>
        <w:tab w:val="right" w:pos="9360"/>
      </w:tabs>
    </w:pPr>
  </w:style>
  <w:style w:type="character" w:customStyle="1" w:styleId="HeaderChar">
    <w:name w:val="Header Char"/>
    <w:basedOn w:val="DefaultParagraphFont"/>
    <w:link w:val="Header"/>
    <w:uiPriority w:val="99"/>
    <w:rsid w:val="00F47C5B"/>
    <w:rPr>
      <w:rFonts w:ascii="Times New Roman" w:eastAsia="Times New Roman" w:hAnsi="Times New Roman" w:cs="Times New Roman"/>
      <w:sz w:val="28"/>
      <w:szCs w:val="28"/>
    </w:rPr>
  </w:style>
  <w:style w:type="paragraph" w:styleId="BodyText">
    <w:name w:val="Body Text"/>
    <w:basedOn w:val="Normal"/>
    <w:link w:val="BodyTextChar"/>
    <w:uiPriority w:val="99"/>
    <w:semiHidden/>
    <w:unhideWhenUsed/>
    <w:rsid w:val="00BE6959"/>
    <w:pPr>
      <w:spacing w:after="120"/>
    </w:pPr>
  </w:style>
  <w:style w:type="character" w:customStyle="1" w:styleId="BodyTextChar">
    <w:name w:val="Body Text Char"/>
    <w:basedOn w:val="DefaultParagraphFont"/>
    <w:link w:val="BodyText"/>
    <w:uiPriority w:val="99"/>
    <w:semiHidden/>
    <w:rsid w:val="00BE6959"/>
    <w:rPr>
      <w:rFonts w:ascii="Times New Roman" w:eastAsia="Times New Roman" w:hAnsi="Times New Roman" w:cs="Times New Roman"/>
      <w:sz w:val="28"/>
      <w:szCs w:val="28"/>
    </w:rPr>
  </w:style>
  <w:style w:type="character" w:customStyle="1" w:styleId="Heading2Char">
    <w:name w:val="Heading 2 Char"/>
    <w:basedOn w:val="DefaultParagraphFont"/>
    <w:link w:val="Heading2"/>
    <w:rsid w:val="00BE6959"/>
    <w:rPr>
      <w:rFonts w:ascii=".VnTimeH" w:eastAsia="Times New Roman" w:hAnsi=".VnTimeH" w:cs="Times New Roman"/>
      <w:b/>
      <w:sz w:val="26"/>
      <w:szCs w:val="24"/>
    </w:rPr>
  </w:style>
  <w:style w:type="character" w:customStyle="1" w:styleId="fontstyle01">
    <w:name w:val="fontstyle01"/>
    <w:basedOn w:val="DefaultParagraphFont"/>
    <w:rsid w:val="00BE6959"/>
    <w:rPr>
      <w:rFonts w:ascii="Times New Roman" w:hAnsi="Times New Roman" w:cs="Times New Roman" w:hint="default"/>
      <w:b w:val="0"/>
      <w:bCs w:val="0"/>
      <w:i w:val="0"/>
      <w:iCs w:val="0"/>
      <w:color w:val="000000"/>
      <w:sz w:val="30"/>
      <w:szCs w:val="30"/>
    </w:rPr>
  </w:style>
  <w:style w:type="paragraph" w:styleId="Footer">
    <w:name w:val="footer"/>
    <w:basedOn w:val="Normal"/>
    <w:link w:val="FooterChar"/>
    <w:uiPriority w:val="99"/>
    <w:unhideWhenUsed/>
    <w:rsid w:val="00207324"/>
    <w:pPr>
      <w:tabs>
        <w:tab w:val="center" w:pos="4680"/>
        <w:tab w:val="right" w:pos="9360"/>
      </w:tabs>
    </w:pPr>
  </w:style>
  <w:style w:type="character" w:customStyle="1" w:styleId="FooterChar">
    <w:name w:val="Footer Char"/>
    <w:basedOn w:val="DefaultParagraphFont"/>
    <w:link w:val="Footer"/>
    <w:uiPriority w:val="99"/>
    <w:rsid w:val="00207324"/>
    <w:rPr>
      <w:rFonts w:ascii="Times New Roman" w:eastAsia="Times New Roman" w:hAnsi="Times New Roman" w:cs="Times New Roman"/>
      <w:sz w:val="28"/>
      <w:szCs w:val="28"/>
    </w:rPr>
  </w:style>
  <w:style w:type="paragraph" w:styleId="BalloonText">
    <w:name w:val="Balloon Text"/>
    <w:basedOn w:val="Normal"/>
    <w:link w:val="BalloonTextChar"/>
    <w:uiPriority w:val="99"/>
    <w:semiHidden/>
    <w:unhideWhenUsed/>
    <w:rsid w:val="00922CB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2CB7"/>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huvienphapluat.vn/van-ban/dau-tu/thong-tu-03-2021-tt-bkhdt-mau-van-ban-bao-cao-lien-quan-den-hoat-dong-dau-tu-tai-viet-nam-470603.aspx"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2002</Words>
  <Characters>11415</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cp:lastPrinted>2025-05-08T11:46:00Z</cp:lastPrinted>
  <dcterms:created xsi:type="dcterms:W3CDTF">2025-05-14T02:01:00Z</dcterms:created>
  <dcterms:modified xsi:type="dcterms:W3CDTF">2025-05-14T02:01:00Z</dcterms:modified>
</cp:coreProperties>
</file>