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9" w:type="dxa"/>
        <w:tblInd w:w="-342" w:type="dxa"/>
        <w:tblLook w:val="01E0"/>
      </w:tblPr>
      <w:tblGrid>
        <w:gridCol w:w="3369"/>
        <w:gridCol w:w="6300"/>
      </w:tblGrid>
      <w:tr w:rsidR="00DA7D90" w:rsidRPr="00461AA6" w:rsidTr="00DA7D90">
        <w:trPr>
          <w:trHeight w:val="807"/>
        </w:trPr>
        <w:tc>
          <w:tcPr>
            <w:tcW w:w="3369" w:type="dxa"/>
            <w:hideMark/>
          </w:tcPr>
          <w:p w:rsidR="00DA7D90" w:rsidRPr="00461AA6" w:rsidRDefault="00DA7D90" w:rsidP="00DA7D90">
            <w:pPr>
              <w:overflowPunct w:val="0"/>
              <w:autoSpaceDE w:val="0"/>
              <w:autoSpaceDN w:val="0"/>
              <w:adjustRightInd w:val="0"/>
              <w:jc w:val="center"/>
              <w:textAlignment w:val="baseline"/>
              <w:rPr>
                <w:rFonts w:eastAsia="Batang"/>
                <w:b/>
                <w:color w:val="000000"/>
                <w:sz w:val="26"/>
                <w:szCs w:val="26"/>
              </w:rPr>
            </w:pPr>
            <w:r w:rsidRPr="00461AA6">
              <w:rPr>
                <w:rFonts w:eastAsia="Batang"/>
                <w:b/>
                <w:color w:val="000000"/>
                <w:sz w:val="26"/>
                <w:szCs w:val="26"/>
              </w:rPr>
              <w:t xml:space="preserve">ỦY </w:t>
            </w:r>
            <w:r>
              <w:rPr>
                <w:rFonts w:eastAsia="Batang"/>
                <w:b/>
                <w:color w:val="000000"/>
                <w:sz w:val="26"/>
                <w:szCs w:val="26"/>
              </w:rPr>
              <w:t xml:space="preserve">BAN </w:t>
            </w:r>
            <w:r w:rsidRPr="00461AA6">
              <w:rPr>
                <w:rFonts w:eastAsia="Batang"/>
                <w:b/>
                <w:color w:val="000000"/>
                <w:sz w:val="26"/>
                <w:szCs w:val="26"/>
              </w:rPr>
              <w:t>NHÂN DÂN</w:t>
            </w:r>
          </w:p>
          <w:p w:rsidR="00DA7D90" w:rsidRPr="00461AA6" w:rsidRDefault="00DA7D90" w:rsidP="00DA7D90">
            <w:pPr>
              <w:overflowPunct w:val="0"/>
              <w:autoSpaceDE w:val="0"/>
              <w:autoSpaceDN w:val="0"/>
              <w:adjustRightInd w:val="0"/>
              <w:jc w:val="center"/>
              <w:textAlignment w:val="baseline"/>
              <w:rPr>
                <w:rFonts w:eastAsia="Batang"/>
                <w:b/>
                <w:color w:val="000000"/>
                <w:sz w:val="26"/>
                <w:szCs w:val="26"/>
              </w:rPr>
            </w:pPr>
            <w:r w:rsidRPr="00461AA6">
              <w:rPr>
                <w:rFonts w:eastAsia="Batang"/>
                <w:b/>
                <w:color w:val="000000"/>
                <w:sz w:val="26"/>
                <w:szCs w:val="26"/>
              </w:rPr>
              <w:t>TỈNH VĨNH PHÚC</w:t>
            </w:r>
          </w:p>
          <w:p w:rsidR="00DA7D90" w:rsidRPr="00461AA6" w:rsidRDefault="00DA7D90" w:rsidP="00DA7D90">
            <w:pPr>
              <w:overflowPunct w:val="0"/>
              <w:autoSpaceDE w:val="0"/>
              <w:autoSpaceDN w:val="0"/>
              <w:adjustRightInd w:val="0"/>
              <w:jc w:val="center"/>
              <w:textAlignment w:val="baseline"/>
              <w:rPr>
                <w:rFonts w:eastAsia="Batang"/>
                <w:b/>
                <w:color w:val="000000"/>
                <w:sz w:val="28"/>
                <w:szCs w:val="28"/>
              </w:rPr>
            </w:pPr>
            <w:r w:rsidRPr="00461AA6">
              <w:rPr>
                <w:rFonts w:ascii=".VnTime" w:hAnsi=".VnTime"/>
                <w:color w:val="000000"/>
              </w:rPr>
              <w:pict>
                <v:line id="_x0000_s1026" style="position:absolute;left:0;text-align:left;z-index:251660288" from="42.2pt,1.5pt" to="114.2pt,1.5pt"/>
              </w:pict>
            </w:r>
          </w:p>
        </w:tc>
        <w:tc>
          <w:tcPr>
            <w:tcW w:w="6300" w:type="dxa"/>
            <w:hideMark/>
          </w:tcPr>
          <w:p w:rsidR="00DA7D90" w:rsidRPr="00461AA6" w:rsidRDefault="00DA7D90" w:rsidP="00DA7D90">
            <w:pPr>
              <w:overflowPunct w:val="0"/>
              <w:autoSpaceDE w:val="0"/>
              <w:autoSpaceDN w:val="0"/>
              <w:adjustRightInd w:val="0"/>
              <w:jc w:val="center"/>
              <w:textAlignment w:val="baseline"/>
              <w:rPr>
                <w:rFonts w:eastAsia="Batang"/>
                <w:b/>
                <w:color w:val="000000"/>
                <w:sz w:val="26"/>
                <w:szCs w:val="26"/>
              </w:rPr>
            </w:pPr>
            <w:r w:rsidRPr="00461AA6">
              <w:rPr>
                <w:rFonts w:eastAsia="Batang"/>
                <w:b/>
                <w:color w:val="000000"/>
                <w:sz w:val="26"/>
                <w:szCs w:val="26"/>
              </w:rPr>
              <w:t>CỘNG HÒA XÃ HỘI CHỦ NGHĨA VIỆT NAM</w:t>
            </w:r>
          </w:p>
          <w:p w:rsidR="00DA7D90" w:rsidRPr="00461AA6" w:rsidRDefault="00DA7D90" w:rsidP="00DA7D90">
            <w:pPr>
              <w:tabs>
                <w:tab w:val="center" w:pos="3042"/>
                <w:tab w:val="left" w:pos="5199"/>
              </w:tabs>
              <w:overflowPunct w:val="0"/>
              <w:autoSpaceDE w:val="0"/>
              <w:autoSpaceDN w:val="0"/>
              <w:adjustRightInd w:val="0"/>
              <w:textAlignment w:val="baseline"/>
              <w:rPr>
                <w:rFonts w:eastAsia="Batang"/>
                <w:b/>
                <w:color w:val="000000"/>
                <w:sz w:val="28"/>
                <w:szCs w:val="28"/>
              </w:rPr>
            </w:pPr>
            <w:r w:rsidRPr="00461AA6">
              <w:rPr>
                <w:rFonts w:ascii=".VnTime" w:hAnsi=".VnTime"/>
                <w:color w:val="000000"/>
              </w:rPr>
              <w:pict>
                <v:line id="_x0000_s1027" style="position:absolute;z-index:251661312" from="96.1pt,18.45pt" to="200.35pt,18.45pt"/>
              </w:pict>
            </w:r>
            <w:r w:rsidRPr="00461AA6">
              <w:rPr>
                <w:rFonts w:eastAsia="Batang"/>
                <w:b/>
                <w:color w:val="000000"/>
                <w:sz w:val="28"/>
                <w:szCs w:val="28"/>
              </w:rPr>
              <w:tab/>
              <w:t xml:space="preserve">  Độc lập - Tự do - Hạnh phúc</w:t>
            </w:r>
            <w:r w:rsidRPr="00461AA6">
              <w:rPr>
                <w:rFonts w:eastAsia="Batang"/>
                <w:b/>
                <w:color w:val="000000"/>
                <w:sz w:val="28"/>
                <w:szCs w:val="28"/>
              </w:rPr>
              <w:tab/>
            </w:r>
          </w:p>
        </w:tc>
      </w:tr>
      <w:tr w:rsidR="00DA7D90" w:rsidRPr="00461AA6" w:rsidTr="00DA7D90">
        <w:trPr>
          <w:trHeight w:val="567"/>
        </w:trPr>
        <w:tc>
          <w:tcPr>
            <w:tcW w:w="3369" w:type="dxa"/>
            <w:hideMark/>
          </w:tcPr>
          <w:p w:rsidR="00DA7D90" w:rsidRPr="00461AA6" w:rsidRDefault="00DA7D90" w:rsidP="00DA7D90">
            <w:pPr>
              <w:jc w:val="center"/>
              <w:rPr>
                <w:color w:val="000000"/>
                <w:sz w:val="28"/>
                <w:szCs w:val="28"/>
              </w:rPr>
            </w:pPr>
            <w:r w:rsidRPr="00461AA6">
              <w:rPr>
                <w:color w:val="000000"/>
                <w:sz w:val="28"/>
                <w:szCs w:val="28"/>
              </w:rPr>
              <w:t>Số:</w:t>
            </w:r>
            <w:r>
              <w:rPr>
                <w:color w:val="000000"/>
                <w:sz w:val="28"/>
                <w:szCs w:val="28"/>
              </w:rPr>
              <w:t xml:space="preserve"> 3049</w:t>
            </w:r>
            <w:r w:rsidRPr="00461AA6">
              <w:rPr>
                <w:color w:val="000000"/>
                <w:sz w:val="28"/>
                <w:szCs w:val="28"/>
              </w:rPr>
              <w:t>/QĐ-UBND</w:t>
            </w:r>
          </w:p>
          <w:p w:rsidR="00DA7D90" w:rsidRPr="00461AA6" w:rsidRDefault="00DA7D90" w:rsidP="00DA7D90">
            <w:pPr>
              <w:overflowPunct w:val="0"/>
              <w:autoSpaceDE w:val="0"/>
              <w:autoSpaceDN w:val="0"/>
              <w:adjustRightInd w:val="0"/>
              <w:jc w:val="center"/>
              <w:textAlignment w:val="baseline"/>
              <w:rPr>
                <w:rFonts w:eastAsia="Batang"/>
                <w:color w:val="000000"/>
                <w:sz w:val="28"/>
                <w:szCs w:val="28"/>
              </w:rPr>
            </w:pPr>
          </w:p>
        </w:tc>
        <w:tc>
          <w:tcPr>
            <w:tcW w:w="6300" w:type="dxa"/>
            <w:hideMark/>
          </w:tcPr>
          <w:p w:rsidR="00DA7D90" w:rsidRPr="00461AA6" w:rsidRDefault="00DA7D90" w:rsidP="00DA7D90">
            <w:pPr>
              <w:overflowPunct w:val="0"/>
              <w:autoSpaceDE w:val="0"/>
              <w:autoSpaceDN w:val="0"/>
              <w:adjustRightInd w:val="0"/>
              <w:jc w:val="center"/>
              <w:textAlignment w:val="baseline"/>
              <w:rPr>
                <w:rFonts w:eastAsia="Batang"/>
                <w:i/>
                <w:color w:val="000000"/>
                <w:sz w:val="28"/>
                <w:szCs w:val="28"/>
              </w:rPr>
            </w:pPr>
            <w:r w:rsidRPr="00461AA6">
              <w:rPr>
                <w:rFonts w:eastAsia="Batang"/>
                <w:i/>
                <w:color w:val="000000"/>
                <w:sz w:val="28"/>
                <w:szCs w:val="28"/>
              </w:rPr>
              <w:t xml:space="preserve">Vĩnh Phúc, ngày </w:t>
            </w:r>
            <w:r>
              <w:rPr>
                <w:rFonts w:eastAsia="Batang"/>
                <w:i/>
                <w:color w:val="000000"/>
                <w:sz w:val="28"/>
                <w:szCs w:val="28"/>
              </w:rPr>
              <w:t>08</w:t>
            </w:r>
            <w:r w:rsidRPr="00461AA6">
              <w:rPr>
                <w:rFonts w:eastAsia="Batang"/>
                <w:i/>
                <w:color w:val="000000"/>
                <w:sz w:val="28"/>
                <w:szCs w:val="28"/>
              </w:rPr>
              <w:t xml:space="preserve"> tháng 11 năm 2021</w:t>
            </w:r>
          </w:p>
        </w:tc>
      </w:tr>
    </w:tbl>
    <w:p w:rsidR="00DA7D90" w:rsidRPr="00DA7D90" w:rsidRDefault="00DA7D90" w:rsidP="00DA7D90">
      <w:pPr>
        <w:pStyle w:val="Heading1"/>
        <w:spacing w:before="0" w:after="0"/>
        <w:jc w:val="center"/>
        <w:rPr>
          <w:rFonts w:ascii="Times New Roman" w:hAnsi="Times New Roman"/>
          <w:color w:val="000000"/>
          <w:sz w:val="28"/>
          <w:szCs w:val="28"/>
        </w:rPr>
      </w:pPr>
      <w:r w:rsidRPr="00DA7D90">
        <w:rPr>
          <w:rFonts w:ascii="Times New Roman" w:hAnsi="Times New Roman"/>
          <w:color w:val="000000"/>
          <w:sz w:val="28"/>
          <w:szCs w:val="28"/>
        </w:rPr>
        <w:t>QUYẾT ĐỊNH</w:t>
      </w:r>
    </w:p>
    <w:p w:rsidR="00DA7D90" w:rsidRPr="00DA7D90" w:rsidRDefault="00DA7D90" w:rsidP="00DA7D90">
      <w:pPr>
        <w:spacing w:line="252" w:lineRule="auto"/>
        <w:jc w:val="center"/>
        <w:rPr>
          <w:b/>
          <w:color w:val="000000"/>
          <w:spacing w:val="-6"/>
          <w:sz w:val="28"/>
          <w:szCs w:val="28"/>
        </w:rPr>
      </w:pPr>
      <w:r w:rsidRPr="00DA7D90">
        <w:rPr>
          <w:b/>
          <w:color w:val="000000"/>
          <w:sz w:val="28"/>
          <w:szCs w:val="28"/>
        </w:rPr>
        <w:t>Về việc tiếp tục thực hiện các Quyết định của UBND tỉnh về việc                           giao quyền tự chủ tài chính đối với các đơn vị sự nghiệp công lập                                       khối tỉnh quản lý đến hết năm 2021</w:t>
      </w:r>
    </w:p>
    <w:p w:rsidR="00DA7D90" w:rsidRPr="00461AA6" w:rsidRDefault="00DA7D90" w:rsidP="00DA7D90">
      <w:pPr>
        <w:tabs>
          <w:tab w:val="num" w:pos="960"/>
        </w:tabs>
        <w:spacing w:line="264" w:lineRule="auto"/>
        <w:ind w:firstLine="720"/>
        <w:jc w:val="center"/>
        <w:rPr>
          <w:b/>
          <w:iCs/>
          <w:color w:val="000000"/>
          <w:sz w:val="28"/>
          <w:szCs w:val="28"/>
        </w:rPr>
      </w:pPr>
      <w:r w:rsidRPr="00461AA6">
        <w:rPr>
          <w:noProof/>
          <w:color w:val="000000"/>
        </w:rPr>
        <w:pict>
          <v:line id="_x0000_s1028" style="position:absolute;left:0;text-align:left;z-index:251662336" from="158.7pt,2.95pt" to="304.5pt,2.95pt"/>
        </w:pict>
      </w:r>
    </w:p>
    <w:p w:rsidR="00DA7D90" w:rsidRDefault="00DA7D90" w:rsidP="002042BA">
      <w:pPr>
        <w:tabs>
          <w:tab w:val="num" w:pos="960"/>
        </w:tabs>
        <w:spacing w:before="60" w:after="60" w:line="320" w:lineRule="exact"/>
        <w:ind w:firstLine="720"/>
        <w:jc w:val="center"/>
        <w:rPr>
          <w:b/>
          <w:iCs/>
          <w:color w:val="000000"/>
          <w:sz w:val="28"/>
          <w:szCs w:val="28"/>
        </w:rPr>
      </w:pPr>
      <w:r w:rsidRPr="00461AA6">
        <w:rPr>
          <w:b/>
          <w:iCs/>
          <w:color w:val="000000"/>
          <w:sz w:val="28"/>
          <w:szCs w:val="28"/>
        </w:rPr>
        <w:t>CHỦ TỊCH ỦY BAN NHÂN DÂN TỈNH</w:t>
      </w:r>
      <w:r>
        <w:rPr>
          <w:b/>
          <w:iCs/>
          <w:color w:val="000000"/>
          <w:sz w:val="28"/>
          <w:szCs w:val="28"/>
        </w:rPr>
        <w:t xml:space="preserve"> VĨNH PHÚC</w:t>
      </w:r>
    </w:p>
    <w:p w:rsidR="00DA7D90" w:rsidRPr="00DA7D90" w:rsidRDefault="00DA7D90" w:rsidP="002042BA">
      <w:pPr>
        <w:tabs>
          <w:tab w:val="num" w:pos="960"/>
        </w:tabs>
        <w:spacing w:before="60" w:after="60" w:line="320" w:lineRule="exact"/>
        <w:ind w:firstLine="720"/>
        <w:rPr>
          <w:i/>
          <w:iCs/>
          <w:color w:val="000000"/>
          <w:sz w:val="28"/>
          <w:szCs w:val="28"/>
        </w:rPr>
      </w:pPr>
      <w:r w:rsidRPr="00DA7D90">
        <w:rPr>
          <w:i/>
          <w:iCs/>
          <w:color w:val="000000"/>
          <w:sz w:val="28"/>
          <w:szCs w:val="28"/>
        </w:rPr>
        <w:t>Căn cứ Luật tổ chức Chính quyền địa phương ngày 19/6/2021;</w:t>
      </w:r>
    </w:p>
    <w:p w:rsidR="00DA7D90" w:rsidRPr="00DA7D90" w:rsidRDefault="00DA7D90" w:rsidP="002042BA">
      <w:pPr>
        <w:spacing w:before="60" w:after="60" w:line="320" w:lineRule="exact"/>
        <w:ind w:firstLine="720"/>
        <w:jc w:val="both"/>
        <w:rPr>
          <w:i/>
          <w:color w:val="000000"/>
          <w:sz w:val="28"/>
          <w:szCs w:val="28"/>
        </w:rPr>
      </w:pPr>
      <w:r w:rsidRPr="00DA7D90">
        <w:rPr>
          <w:i/>
          <w:color w:val="000000"/>
          <w:spacing w:val="2"/>
          <w:sz w:val="28"/>
          <w:szCs w:val="28"/>
        </w:rPr>
        <w:t xml:space="preserve">Căn cứ Nghị định số </w:t>
      </w:r>
      <w:r w:rsidRPr="00DA7D90">
        <w:rPr>
          <w:i/>
          <w:color w:val="000000"/>
          <w:sz w:val="28"/>
          <w:szCs w:val="28"/>
        </w:rPr>
        <w:t xml:space="preserve">60/2021/NĐ-CP ngày 21/6/2021 của Chính phủ V/v </w:t>
      </w:r>
      <w:r w:rsidRPr="00DA7D90">
        <w:rPr>
          <w:i/>
          <w:color w:val="000000"/>
          <w:sz w:val="28"/>
          <w:szCs w:val="28"/>
          <w:lang w:val="vi-VN"/>
        </w:rPr>
        <w:t>quy định cơ chế tự chủ tài chính của đơn vị sự nghiệp công lập</w:t>
      </w:r>
      <w:r w:rsidRPr="00DA7D90">
        <w:rPr>
          <w:i/>
          <w:color w:val="000000"/>
          <w:sz w:val="28"/>
          <w:szCs w:val="28"/>
        </w:rPr>
        <w:t>;</w:t>
      </w:r>
    </w:p>
    <w:p w:rsidR="00DA7D90" w:rsidRPr="00DA7D90" w:rsidRDefault="00DA7D90" w:rsidP="002042BA">
      <w:pPr>
        <w:pStyle w:val="FootnoteText"/>
        <w:spacing w:before="60" w:after="60" w:line="320" w:lineRule="exact"/>
        <w:ind w:firstLine="720"/>
        <w:jc w:val="both"/>
        <w:rPr>
          <w:i/>
          <w:color w:val="000000"/>
          <w:sz w:val="28"/>
          <w:szCs w:val="28"/>
        </w:rPr>
      </w:pPr>
      <w:r w:rsidRPr="00DA7D90">
        <w:rPr>
          <w:i/>
          <w:color w:val="000000"/>
          <w:sz w:val="28"/>
          <w:szCs w:val="28"/>
        </w:rPr>
        <w:t xml:space="preserve">Căn cứ Quyết định số 1842/QĐ-UBND ngày 10/8/2018 của UBND tỉnh V/v xác định mức độ tự chủ tài chính đối với các đơn vị sự nghiệp công lập khối tỉnh quản lý giai đoạn 2018-2020; </w:t>
      </w:r>
    </w:p>
    <w:p w:rsidR="00DA7D90" w:rsidRPr="00DA7D90" w:rsidRDefault="00DA7D90" w:rsidP="002042BA">
      <w:pPr>
        <w:pStyle w:val="FootnoteText"/>
        <w:spacing w:before="60" w:after="60" w:line="320" w:lineRule="exact"/>
        <w:ind w:firstLine="720"/>
        <w:jc w:val="both"/>
        <w:rPr>
          <w:i/>
          <w:color w:val="000000"/>
          <w:sz w:val="28"/>
          <w:szCs w:val="28"/>
        </w:rPr>
      </w:pPr>
      <w:r w:rsidRPr="00DA7D90">
        <w:rPr>
          <w:i/>
          <w:color w:val="000000"/>
          <w:sz w:val="28"/>
          <w:szCs w:val="28"/>
        </w:rPr>
        <w:t>Căn cứ các Quyết định của UBND tỉnh số 2564/QĐ-UBND ngày 18/10/2019 của UBND tỉnh, Quyết định số 2565/QĐ-UBND ngày 18/10/2019; Quyết định số 2566/QĐ- UBND ngày 18/10/2019; Quyết định số 2768/QĐ-UBND ngày 30/10/2019; Quyết định số 2769/QĐ-UBND ngày 18/10/2019V/v Giao quyền tự chủ về tài chính đối với các ĐVSNCL khối tỉnh quản lý giai đoạn 2019-2020.</w:t>
      </w:r>
    </w:p>
    <w:p w:rsidR="00DA7D90" w:rsidRPr="00DA7D90" w:rsidRDefault="00DA7D90" w:rsidP="002042BA">
      <w:pPr>
        <w:pStyle w:val="FootnoteText"/>
        <w:spacing w:before="60" w:after="60" w:line="320" w:lineRule="exact"/>
        <w:ind w:firstLine="720"/>
        <w:jc w:val="both"/>
        <w:rPr>
          <w:i/>
          <w:color w:val="000000"/>
          <w:sz w:val="28"/>
          <w:szCs w:val="28"/>
        </w:rPr>
      </w:pPr>
      <w:r w:rsidRPr="00DA7D90">
        <w:rPr>
          <w:i/>
          <w:color w:val="000000"/>
          <w:sz w:val="28"/>
          <w:szCs w:val="28"/>
        </w:rPr>
        <w:t>Căn cứ các Quyết định của UBND tỉnh số 2740/QĐ-UBND ngày 1/11/2018, Quyết định số 1037/QĐ-UBND ngày 16/4/2019 V/v giao quyền tự chủ tại chính cho các đơn vị SNCL trực thuộc Sở Y tế giai đoạn 2019-2021.</w:t>
      </w:r>
    </w:p>
    <w:p w:rsidR="00DA7D90" w:rsidRPr="00DA7D90" w:rsidRDefault="00DA7D90" w:rsidP="002042BA">
      <w:pPr>
        <w:pStyle w:val="FootnoteText"/>
        <w:spacing w:before="60" w:after="60" w:line="320" w:lineRule="exact"/>
        <w:ind w:firstLine="720"/>
        <w:jc w:val="both"/>
        <w:rPr>
          <w:i/>
          <w:color w:val="000000"/>
          <w:sz w:val="28"/>
          <w:szCs w:val="28"/>
        </w:rPr>
      </w:pPr>
      <w:r w:rsidRPr="00DA7D90">
        <w:rPr>
          <w:i/>
          <w:color w:val="000000"/>
          <w:sz w:val="28"/>
          <w:szCs w:val="28"/>
          <w:shd w:val="clear" w:color="auto" w:fill="FFFFFF"/>
        </w:rPr>
        <w:t xml:space="preserve">Căn cứ Quyết định số 2031/QĐ-UBND ngày 30/7/2021 của UBND tỉnh V/v phê duyệt Đề </w:t>
      </w:r>
      <w:proofErr w:type="gramStart"/>
      <w:r w:rsidRPr="00DA7D90">
        <w:rPr>
          <w:i/>
          <w:color w:val="000000"/>
          <w:sz w:val="28"/>
          <w:szCs w:val="28"/>
          <w:shd w:val="clear" w:color="auto" w:fill="FFFFFF"/>
        </w:rPr>
        <w:t>án</w:t>
      </w:r>
      <w:proofErr w:type="gramEnd"/>
      <w:r w:rsidRPr="00DA7D90">
        <w:rPr>
          <w:i/>
          <w:color w:val="000000"/>
          <w:sz w:val="28"/>
          <w:szCs w:val="28"/>
          <w:shd w:val="clear" w:color="auto" w:fill="FFFFFF"/>
        </w:rPr>
        <w:t xml:space="preserve"> tăng cường công tác giao tự chủ tài chính đối với đơn vị sự nghiệp công lập trên địa bàn tỉnh giai đoạn 2021-2025.</w:t>
      </w:r>
    </w:p>
    <w:p w:rsidR="00DA7D90" w:rsidRPr="00461AA6" w:rsidRDefault="00DA7D90" w:rsidP="002042BA">
      <w:pPr>
        <w:spacing w:before="60" w:after="60" w:line="320" w:lineRule="exact"/>
        <w:ind w:firstLine="720"/>
        <w:jc w:val="both"/>
        <w:rPr>
          <w:color w:val="000000"/>
          <w:sz w:val="16"/>
          <w:szCs w:val="28"/>
        </w:rPr>
      </w:pPr>
      <w:r w:rsidRPr="00DA7D90">
        <w:rPr>
          <w:i/>
          <w:color w:val="000000"/>
          <w:sz w:val="28"/>
          <w:szCs w:val="28"/>
        </w:rPr>
        <w:t>Xét đề nghị của Sở Tài chính tại Tờ trình số: 58/TTr-HCSN ngày 03/11/2021.</w:t>
      </w:r>
    </w:p>
    <w:p w:rsidR="00DA7D90" w:rsidRDefault="00DA7D90" w:rsidP="002042BA">
      <w:pPr>
        <w:tabs>
          <w:tab w:val="left" w:pos="8820"/>
        </w:tabs>
        <w:spacing w:before="60" w:after="60" w:line="320" w:lineRule="exact"/>
        <w:jc w:val="center"/>
        <w:rPr>
          <w:b/>
          <w:color w:val="000000"/>
          <w:sz w:val="28"/>
          <w:szCs w:val="28"/>
        </w:rPr>
      </w:pPr>
      <w:r w:rsidRPr="00461AA6">
        <w:rPr>
          <w:b/>
          <w:color w:val="000000"/>
          <w:sz w:val="28"/>
          <w:szCs w:val="28"/>
        </w:rPr>
        <w:t>QUYẾT ĐỊNH:</w:t>
      </w:r>
    </w:p>
    <w:p w:rsidR="00DA7D90" w:rsidRPr="00461AA6" w:rsidRDefault="00DA7D90" w:rsidP="002042BA">
      <w:pPr>
        <w:tabs>
          <w:tab w:val="left" w:pos="8820"/>
        </w:tabs>
        <w:spacing w:before="60" w:after="60" w:line="320" w:lineRule="exact"/>
        <w:ind w:firstLine="709"/>
        <w:jc w:val="center"/>
        <w:rPr>
          <w:b/>
          <w:color w:val="000000"/>
          <w:sz w:val="4"/>
          <w:szCs w:val="28"/>
        </w:rPr>
      </w:pPr>
    </w:p>
    <w:p w:rsidR="00DA7D90" w:rsidRPr="00461AA6" w:rsidRDefault="00DA7D90" w:rsidP="002042BA">
      <w:pPr>
        <w:pStyle w:val="FootnoteText"/>
        <w:spacing w:before="60" w:after="60" w:line="320" w:lineRule="exact"/>
        <w:ind w:firstLine="720"/>
        <w:jc w:val="both"/>
        <w:rPr>
          <w:color w:val="000000"/>
          <w:spacing w:val="2"/>
          <w:sz w:val="28"/>
          <w:szCs w:val="28"/>
        </w:rPr>
      </w:pPr>
      <w:proofErr w:type="gramStart"/>
      <w:r w:rsidRPr="00461AA6">
        <w:rPr>
          <w:b/>
          <w:color w:val="000000"/>
          <w:sz w:val="28"/>
          <w:szCs w:val="28"/>
        </w:rPr>
        <w:t>Điều 1.</w:t>
      </w:r>
      <w:proofErr w:type="gramEnd"/>
      <w:r w:rsidRPr="00461AA6">
        <w:rPr>
          <w:b/>
          <w:color w:val="000000"/>
          <w:sz w:val="28"/>
          <w:szCs w:val="28"/>
        </w:rPr>
        <w:t xml:space="preserve"> </w:t>
      </w:r>
      <w:r>
        <w:rPr>
          <w:b/>
          <w:color w:val="000000"/>
          <w:sz w:val="28"/>
          <w:szCs w:val="28"/>
        </w:rPr>
        <w:t>T</w:t>
      </w:r>
      <w:r w:rsidRPr="00523125">
        <w:rPr>
          <w:b/>
          <w:color w:val="000000"/>
          <w:spacing w:val="2"/>
          <w:sz w:val="28"/>
          <w:szCs w:val="28"/>
        </w:rPr>
        <w:t>iếp tục thực hiện giao quyền tự chủ tài chính đối với các đơn vị SNCL khối tỉnh quản lý đến hết năm 2021</w:t>
      </w:r>
      <w:r w:rsidRPr="00461AA6">
        <w:rPr>
          <w:color w:val="000000"/>
          <w:spacing w:val="2"/>
          <w:sz w:val="28"/>
          <w:szCs w:val="28"/>
        </w:rPr>
        <w:t xml:space="preserve"> (theo các nội dung tại Quyết định của UBND tỉnh số </w:t>
      </w:r>
      <w:r w:rsidRPr="00461AA6">
        <w:rPr>
          <w:color w:val="000000"/>
          <w:sz w:val="28"/>
          <w:szCs w:val="28"/>
        </w:rPr>
        <w:t>1842/QĐ-UBND ngày 10/8/2018; Quyết định số 2564/QĐ-UBND ngày 18/10/2019 của UBND tỉnh, Quyết định số 2565/QĐ-UBND ngày 18/10/2019; Quyết định số 2566/QĐ- UBND ngày 18/10/2019; Quyết định số 2768/QĐ-UBND ngày 30/10/2019; Quyết định số 2769/QĐ-UBND ngày 18/10/2019)</w:t>
      </w:r>
      <w:r w:rsidRPr="00461AA6">
        <w:rPr>
          <w:color w:val="000000"/>
          <w:spacing w:val="2"/>
          <w:sz w:val="28"/>
          <w:szCs w:val="28"/>
        </w:rPr>
        <w:t>, tổng số 10</w:t>
      </w:r>
      <w:r>
        <w:rPr>
          <w:color w:val="000000"/>
          <w:spacing w:val="2"/>
          <w:sz w:val="28"/>
          <w:szCs w:val="28"/>
        </w:rPr>
        <w:t>8</w:t>
      </w:r>
      <w:r w:rsidRPr="00461AA6">
        <w:rPr>
          <w:color w:val="000000"/>
          <w:spacing w:val="2"/>
          <w:sz w:val="28"/>
          <w:szCs w:val="28"/>
        </w:rPr>
        <w:t xml:space="preserve"> đơn vị, cụ thể như sau:</w:t>
      </w:r>
    </w:p>
    <w:p w:rsidR="00DA7D90" w:rsidRPr="00461AA6" w:rsidRDefault="00DA7D90" w:rsidP="002042BA">
      <w:pPr>
        <w:spacing w:before="60" w:after="60" w:line="320" w:lineRule="exact"/>
        <w:ind w:left="567" w:firstLine="142"/>
        <w:jc w:val="both"/>
        <w:rPr>
          <w:color w:val="000000"/>
          <w:sz w:val="28"/>
          <w:szCs w:val="28"/>
          <w:lang w:val="vi-VN"/>
        </w:rPr>
      </w:pPr>
      <w:r w:rsidRPr="00461AA6">
        <w:rPr>
          <w:color w:val="000000"/>
          <w:sz w:val="28"/>
          <w:szCs w:val="28"/>
          <w:lang w:val="vi-VN"/>
        </w:rPr>
        <w:t xml:space="preserve">+ </w:t>
      </w:r>
      <w:r w:rsidRPr="00461AA6">
        <w:rPr>
          <w:color w:val="000000"/>
          <w:sz w:val="28"/>
          <w:szCs w:val="28"/>
        </w:rPr>
        <w:t>Số đ</w:t>
      </w:r>
      <w:r w:rsidRPr="00461AA6">
        <w:rPr>
          <w:color w:val="000000"/>
          <w:sz w:val="28"/>
          <w:szCs w:val="28"/>
          <w:lang w:val="vi-VN"/>
        </w:rPr>
        <w:t xml:space="preserve">ơn vị SNCL tự bảo chi thường xuyên và chi đầu tư: </w:t>
      </w:r>
      <w:r>
        <w:rPr>
          <w:color w:val="000000"/>
          <w:sz w:val="28"/>
          <w:szCs w:val="28"/>
        </w:rPr>
        <w:t>3</w:t>
      </w:r>
      <w:r w:rsidRPr="00461AA6">
        <w:rPr>
          <w:color w:val="000000"/>
          <w:sz w:val="28"/>
          <w:szCs w:val="28"/>
          <w:lang w:val="vi-VN"/>
        </w:rPr>
        <w:t xml:space="preserve"> đơn vị;</w:t>
      </w:r>
    </w:p>
    <w:p w:rsidR="00DA7D90" w:rsidRPr="00461AA6" w:rsidRDefault="00DA7D90" w:rsidP="002042BA">
      <w:pPr>
        <w:spacing w:before="60" w:after="60" w:line="320" w:lineRule="exact"/>
        <w:ind w:firstLine="709"/>
        <w:jc w:val="both"/>
        <w:rPr>
          <w:color w:val="000000"/>
          <w:sz w:val="28"/>
          <w:szCs w:val="28"/>
          <w:lang w:val="vi-VN"/>
        </w:rPr>
      </w:pPr>
      <w:r w:rsidRPr="00461AA6">
        <w:rPr>
          <w:color w:val="000000"/>
          <w:sz w:val="28"/>
          <w:szCs w:val="28"/>
          <w:lang w:val="vi-VN"/>
        </w:rPr>
        <w:lastRenderedPageBreak/>
        <w:t xml:space="preserve">+ </w:t>
      </w:r>
      <w:r w:rsidRPr="00461AA6">
        <w:rPr>
          <w:color w:val="000000"/>
          <w:sz w:val="28"/>
          <w:szCs w:val="28"/>
        </w:rPr>
        <w:t>Số đ</w:t>
      </w:r>
      <w:r w:rsidRPr="00461AA6">
        <w:rPr>
          <w:color w:val="000000"/>
          <w:sz w:val="28"/>
          <w:szCs w:val="28"/>
          <w:lang w:val="vi-VN"/>
        </w:rPr>
        <w:t>ơn vị SNCL tự bảo đảm</w:t>
      </w:r>
      <w:r>
        <w:rPr>
          <w:color w:val="000000"/>
          <w:sz w:val="28"/>
          <w:szCs w:val="28"/>
        </w:rPr>
        <w:t xml:space="preserve"> </w:t>
      </w:r>
      <w:r w:rsidRPr="00461AA6">
        <w:rPr>
          <w:color w:val="000000"/>
          <w:sz w:val="28"/>
          <w:szCs w:val="28"/>
          <w:lang w:val="vi-VN"/>
        </w:rPr>
        <w:t>chi thường xuyên:</w:t>
      </w:r>
      <w:r>
        <w:rPr>
          <w:color w:val="000000"/>
          <w:sz w:val="28"/>
          <w:szCs w:val="28"/>
        </w:rPr>
        <w:t xml:space="preserve"> 20</w:t>
      </w:r>
      <w:r w:rsidRPr="00461AA6">
        <w:rPr>
          <w:color w:val="000000"/>
          <w:sz w:val="28"/>
          <w:szCs w:val="28"/>
        </w:rPr>
        <w:t xml:space="preserve"> </w:t>
      </w:r>
      <w:r w:rsidRPr="00461AA6">
        <w:rPr>
          <w:color w:val="000000"/>
          <w:sz w:val="28"/>
          <w:szCs w:val="28"/>
          <w:lang w:val="vi-VN"/>
        </w:rPr>
        <w:t xml:space="preserve">đơn vị; </w:t>
      </w:r>
    </w:p>
    <w:p w:rsidR="00DA7D90" w:rsidRPr="00461AA6" w:rsidRDefault="00DA7D90" w:rsidP="002042BA">
      <w:pPr>
        <w:spacing w:before="60" w:after="60" w:line="320" w:lineRule="exact"/>
        <w:ind w:firstLine="709"/>
        <w:jc w:val="both"/>
        <w:rPr>
          <w:color w:val="000000"/>
          <w:sz w:val="28"/>
          <w:szCs w:val="28"/>
          <w:lang w:val="vi-VN"/>
        </w:rPr>
      </w:pPr>
      <w:r w:rsidRPr="00461AA6">
        <w:rPr>
          <w:color w:val="000000"/>
          <w:sz w:val="28"/>
          <w:szCs w:val="28"/>
          <w:lang w:val="vi-VN"/>
        </w:rPr>
        <w:t xml:space="preserve">+ </w:t>
      </w:r>
      <w:r w:rsidRPr="00461AA6">
        <w:rPr>
          <w:color w:val="000000"/>
          <w:sz w:val="28"/>
          <w:szCs w:val="28"/>
        </w:rPr>
        <w:t>Số đ</w:t>
      </w:r>
      <w:r w:rsidRPr="00461AA6">
        <w:rPr>
          <w:color w:val="000000"/>
          <w:sz w:val="28"/>
          <w:szCs w:val="28"/>
          <w:lang w:val="vi-VN"/>
        </w:rPr>
        <w:t xml:space="preserve">ơn vị SNCL tự bảo đảm một phần chi thường xuyên: </w:t>
      </w:r>
      <w:r>
        <w:rPr>
          <w:color w:val="000000"/>
          <w:sz w:val="28"/>
          <w:szCs w:val="28"/>
        </w:rPr>
        <w:t>63</w:t>
      </w:r>
      <w:r w:rsidRPr="00461AA6">
        <w:rPr>
          <w:color w:val="000000"/>
          <w:sz w:val="28"/>
          <w:szCs w:val="28"/>
          <w:lang w:val="vi-VN"/>
        </w:rPr>
        <w:t xml:space="preserve"> đơn vị;</w:t>
      </w:r>
    </w:p>
    <w:p w:rsidR="00DA7D90" w:rsidRPr="00461AA6" w:rsidRDefault="00DA7D90" w:rsidP="002042BA">
      <w:pPr>
        <w:spacing w:before="60" w:after="60" w:line="320" w:lineRule="exact"/>
        <w:ind w:firstLine="709"/>
        <w:jc w:val="both"/>
        <w:rPr>
          <w:color w:val="000000"/>
          <w:sz w:val="28"/>
          <w:szCs w:val="28"/>
        </w:rPr>
      </w:pPr>
      <w:r w:rsidRPr="00461AA6">
        <w:rPr>
          <w:color w:val="000000"/>
          <w:sz w:val="28"/>
          <w:szCs w:val="28"/>
          <w:lang w:val="vi-VN"/>
        </w:rPr>
        <w:t xml:space="preserve">+ </w:t>
      </w:r>
      <w:r w:rsidRPr="00461AA6">
        <w:rPr>
          <w:color w:val="000000"/>
          <w:sz w:val="28"/>
          <w:szCs w:val="28"/>
        </w:rPr>
        <w:t>Số đ</w:t>
      </w:r>
      <w:r w:rsidRPr="00461AA6">
        <w:rPr>
          <w:color w:val="000000"/>
          <w:sz w:val="28"/>
          <w:szCs w:val="28"/>
          <w:lang w:val="vi-VN"/>
        </w:rPr>
        <w:t xml:space="preserve">ơn vị SNCL do </w:t>
      </w:r>
      <w:r>
        <w:rPr>
          <w:color w:val="000000"/>
          <w:sz w:val="28"/>
          <w:szCs w:val="28"/>
        </w:rPr>
        <w:t xml:space="preserve">NSNN </w:t>
      </w:r>
      <w:r w:rsidRPr="00461AA6">
        <w:rPr>
          <w:color w:val="000000"/>
          <w:sz w:val="28"/>
          <w:szCs w:val="28"/>
          <w:lang w:val="vi-VN"/>
        </w:rPr>
        <w:t xml:space="preserve">bảo đảm chi thường xuyên: </w:t>
      </w:r>
      <w:r w:rsidRPr="00461AA6">
        <w:rPr>
          <w:color w:val="000000"/>
          <w:sz w:val="28"/>
          <w:szCs w:val="28"/>
        </w:rPr>
        <w:t xml:space="preserve">22 </w:t>
      </w:r>
      <w:r w:rsidRPr="00461AA6">
        <w:rPr>
          <w:color w:val="000000"/>
          <w:sz w:val="28"/>
          <w:szCs w:val="28"/>
          <w:lang w:val="vi-VN"/>
        </w:rPr>
        <w:t>đơn vị.</w:t>
      </w:r>
    </w:p>
    <w:p w:rsidR="00DA7D90" w:rsidRPr="00461AA6" w:rsidRDefault="00DA7D90" w:rsidP="002042BA">
      <w:pPr>
        <w:pStyle w:val="NormalWeb"/>
        <w:tabs>
          <w:tab w:val="left" w:pos="350"/>
          <w:tab w:val="left" w:pos="2072"/>
        </w:tabs>
        <w:spacing w:before="60" w:beforeAutospacing="0" w:after="60" w:afterAutospacing="0" w:line="320" w:lineRule="exact"/>
        <w:ind w:firstLine="720"/>
        <w:jc w:val="both"/>
        <w:rPr>
          <w:color w:val="000000"/>
          <w:sz w:val="28"/>
          <w:szCs w:val="28"/>
        </w:rPr>
      </w:pPr>
      <w:r w:rsidRPr="00461AA6">
        <w:rPr>
          <w:color w:val="000000"/>
          <w:spacing w:val="2"/>
          <w:sz w:val="28"/>
          <w:szCs w:val="28"/>
        </w:rPr>
        <w:t xml:space="preserve">Các đơn vị SNCL lĩnh vực y tế (13 đơn vị) tiếp tục </w:t>
      </w:r>
      <w:r>
        <w:rPr>
          <w:color w:val="000000"/>
          <w:spacing w:val="2"/>
          <w:sz w:val="28"/>
          <w:szCs w:val="28"/>
        </w:rPr>
        <w:t xml:space="preserve">thực hiện </w:t>
      </w:r>
      <w:r w:rsidRPr="00461AA6">
        <w:rPr>
          <w:color w:val="000000"/>
          <w:spacing w:val="2"/>
          <w:sz w:val="28"/>
          <w:szCs w:val="28"/>
        </w:rPr>
        <w:t xml:space="preserve">tự chủ tài chính </w:t>
      </w:r>
      <w:proofErr w:type="gramStart"/>
      <w:r w:rsidRPr="00461AA6">
        <w:rPr>
          <w:color w:val="000000"/>
          <w:spacing w:val="2"/>
          <w:sz w:val="28"/>
          <w:szCs w:val="28"/>
        </w:rPr>
        <w:t>theo</w:t>
      </w:r>
      <w:proofErr w:type="gramEnd"/>
      <w:r w:rsidRPr="00461AA6">
        <w:rPr>
          <w:color w:val="000000"/>
          <w:spacing w:val="2"/>
          <w:sz w:val="28"/>
          <w:szCs w:val="28"/>
        </w:rPr>
        <w:t xml:space="preserve"> các Quyết định của UBND tỉnh số </w:t>
      </w:r>
      <w:r w:rsidRPr="00461AA6">
        <w:rPr>
          <w:color w:val="000000"/>
          <w:sz w:val="28"/>
          <w:szCs w:val="28"/>
        </w:rPr>
        <w:t xml:space="preserve">2740/QĐ-UBND ngày </w:t>
      </w:r>
      <w:r w:rsidR="00AF4EE1">
        <w:rPr>
          <w:color w:val="000000"/>
          <w:sz w:val="28"/>
          <w:szCs w:val="28"/>
        </w:rPr>
        <w:t>0</w:t>
      </w:r>
      <w:r w:rsidRPr="00461AA6">
        <w:rPr>
          <w:color w:val="000000"/>
          <w:sz w:val="28"/>
          <w:szCs w:val="28"/>
        </w:rPr>
        <w:t>1/11/2018, Quyết định số 1037/QĐ-UBND ngày 16/4/2019.</w:t>
      </w:r>
    </w:p>
    <w:p w:rsidR="00DA7D90" w:rsidRPr="00461AA6" w:rsidRDefault="00DA7D90" w:rsidP="002042BA">
      <w:pPr>
        <w:pStyle w:val="NormalWeb"/>
        <w:tabs>
          <w:tab w:val="left" w:pos="350"/>
          <w:tab w:val="left" w:pos="2072"/>
        </w:tabs>
        <w:spacing w:before="60" w:beforeAutospacing="0" w:after="60" w:afterAutospacing="0" w:line="320" w:lineRule="exact"/>
        <w:jc w:val="center"/>
        <w:rPr>
          <w:i/>
          <w:color w:val="000000"/>
          <w:spacing w:val="2"/>
          <w:sz w:val="28"/>
          <w:szCs w:val="28"/>
        </w:rPr>
      </w:pPr>
      <w:r w:rsidRPr="00461AA6">
        <w:rPr>
          <w:i/>
          <w:color w:val="000000"/>
          <w:spacing w:val="2"/>
          <w:sz w:val="28"/>
          <w:szCs w:val="28"/>
        </w:rPr>
        <w:t xml:space="preserve">(Danh sách chi tiết </w:t>
      </w:r>
      <w:proofErr w:type="gramStart"/>
      <w:r w:rsidRPr="00461AA6">
        <w:rPr>
          <w:i/>
          <w:color w:val="000000"/>
          <w:spacing w:val="2"/>
          <w:sz w:val="28"/>
          <w:szCs w:val="28"/>
        </w:rPr>
        <w:t>theo</w:t>
      </w:r>
      <w:proofErr w:type="gramEnd"/>
      <w:r w:rsidRPr="00461AA6">
        <w:rPr>
          <w:i/>
          <w:color w:val="000000"/>
          <w:spacing w:val="2"/>
          <w:sz w:val="28"/>
          <w:szCs w:val="28"/>
        </w:rPr>
        <w:t xml:space="preserve"> biểu đính kèm)</w:t>
      </w:r>
    </w:p>
    <w:p w:rsidR="00AF4EE1" w:rsidRDefault="00DA7D90" w:rsidP="002042BA">
      <w:pPr>
        <w:pStyle w:val="FootnoteText"/>
        <w:spacing w:before="60" w:after="60" w:line="320" w:lineRule="exact"/>
        <w:ind w:firstLine="720"/>
        <w:jc w:val="both"/>
        <w:rPr>
          <w:color w:val="000000"/>
          <w:sz w:val="28"/>
          <w:szCs w:val="28"/>
        </w:rPr>
      </w:pPr>
      <w:proofErr w:type="gramStart"/>
      <w:r w:rsidRPr="00461AA6">
        <w:rPr>
          <w:b/>
          <w:color w:val="000000"/>
          <w:sz w:val="28"/>
          <w:szCs w:val="28"/>
        </w:rPr>
        <w:t>Điều 2.</w:t>
      </w:r>
      <w:proofErr w:type="gramEnd"/>
      <w:r w:rsidR="00AF4EE1">
        <w:rPr>
          <w:b/>
          <w:color w:val="000000"/>
          <w:sz w:val="28"/>
          <w:szCs w:val="28"/>
        </w:rPr>
        <w:t xml:space="preserve"> </w:t>
      </w:r>
      <w:r w:rsidR="00AF4EE1" w:rsidRPr="00AF4EE1">
        <w:rPr>
          <w:color w:val="000000"/>
          <w:sz w:val="28"/>
          <w:szCs w:val="28"/>
        </w:rPr>
        <w:t>Tổ chức thực hiện</w:t>
      </w:r>
      <w:r w:rsidRPr="00461AA6">
        <w:rPr>
          <w:b/>
          <w:color w:val="000000"/>
          <w:sz w:val="28"/>
          <w:szCs w:val="28"/>
        </w:rPr>
        <w:t xml:space="preserve"> </w:t>
      </w:r>
      <w:r w:rsidRPr="00461AA6">
        <w:rPr>
          <w:color w:val="000000"/>
          <w:sz w:val="28"/>
          <w:szCs w:val="28"/>
        </w:rPr>
        <w:t xml:space="preserve"> </w:t>
      </w:r>
    </w:p>
    <w:p w:rsidR="00DA7D90" w:rsidRPr="00461AA6" w:rsidRDefault="00DA7D90" w:rsidP="002042BA">
      <w:pPr>
        <w:pStyle w:val="FootnoteText"/>
        <w:spacing w:before="60" w:after="60" w:line="320" w:lineRule="exact"/>
        <w:ind w:firstLine="720"/>
        <w:jc w:val="both"/>
        <w:rPr>
          <w:color w:val="000000"/>
          <w:sz w:val="28"/>
          <w:szCs w:val="28"/>
        </w:rPr>
      </w:pPr>
      <w:r w:rsidRPr="00461AA6">
        <w:rPr>
          <w:color w:val="000000"/>
          <w:sz w:val="28"/>
          <w:szCs w:val="28"/>
        </w:rPr>
        <w:t xml:space="preserve">Thủ trưởng các đơn vị SNCL có trách nhiệm tổ chức thực hiện </w:t>
      </w:r>
      <w:r w:rsidRPr="00461AA6">
        <w:rPr>
          <w:bCs/>
          <w:color w:val="000000"/>
          <w:sz w:val="28"/>
          <w:szCs w:val="28"/>
        </w:rPr>
        <w:t>tự chủ tài chính</w:t>
      </w:r>
      <w:r w:rsidRPr="00461AA6">
        <w:rPr>
          <w:color w:val="000000"/>
          <w:sz w:val="28"/>
          <w:szCs w:val="28"/>
        </w:rPr>
        <w:t xml:space="preserve"> </w:t>
      </w:r>
      <w:proofErr w:type="gramStart"/>
      <w:r w:rsidRPr="00461AA6">
        <w:rPr>
          <w:color w:val="000000"/>
          <w:sz w:val="28"/>
          <w:szCs w:val="28"/>
        </w:rPr>
        <w:t>theo</w:t>
      </w:r>
      <w:proofErr w:type="gramEnd"/>
      <w:r w:rsidRPr="00461AA6">
        <w:rPr>
          <w:color w:val="000000"/>
          <w:sz w:val="28"/>
          <w:szCs w:val="28"/>
        </w:rPr>
        <w:t xml:space="preserve"> quy định.</w:t>
      </w:r>
    </w:p>
    <w:p w:rsidR="00DA7D90" w:rsidRDefault="00DA7D90" w:rsidP="002042BA">
      <w:pPr>
        <w:pStyle w:val="NormalWeb"/>
        <w:spacing w:before="60" w:beforeAutospacing="0" w:after="60" w:afterAutospacing="0" w:line="320" w:lineRule="exact"/>
        <w:ind w:firstLine="720"/>
        <w:jc w:val="both"/>
        <w:rPr>
          <w:color w:val="000000"/>
          <w:sz w:val="28"/>
          <w:szCs w:val="28"/>
        </w:rPr>
      </w:pPr>
      <w:r w:rsidRPr="00461AA6">
        <w:rPr>
          <w:color w:val="000000"/>
          <w:sz w:val="28"/>
          <w:szCs w:val="28"/>
        </w:rPr>
        <w:t>Trường hợp đơn vị SNCL tự chủ một phần chi thường xuyên hoặc đơn vị SNCL do ngân sách nhà nước đảm bảo toàn bộ chi thường xuyên phải thực hiện tổ chức lại, sáp nhập theo Đề án số 01-ĐA/TU và Kế hoạch số 2175/KH-UBND ngày 02/4/2018 của UBND tỉnh Thực hiện Chương trình hành động số 54-CTr/TU của Ban Chấp hành Đảng bộ tỉnh thực hiện Nghị quyết số 19-NQ/TW, hoặc sáp nhập theo Đề án của UBND tỉnh thì sẽ thực hiện theo quyết định của cấp có thẩm quyền.</w:t>
      </w:r>
    </w:p>
    <w:p w:rsidR="00AF4EE1" w:rsidRDefault="00AF4EE1" w:rsidP="002042BA">
      <w:pPr>
        <w:pStyle w:val="NormalWeb"/>
        <w:spacing w:before="60" w:beforeAutospacing="0" w:after="60" w:afterAutospacing="0" w:line="320" w:lineRule="exact"/>
        <w:ind w:firstLine="720"/>
        <w:jc w:val="both"/>
        <w:rPr>
          <w:color w:val="000000"/>
          <w:sz w:val="28"/>
          <w:szCs w:val="28"/>
        </w:rPr>
      </w:pPr>
      <w:r>
        <w:rPr>
          <w:color w:val="000000"/>
          <w:sz w:val="28"/>
          <w:szCs w:val="28"/>
        </w:rPr>
        <w:t>2. Năm 2022, giao Sở Tài chính phối hợp với các Sở, ngành, cơ quan, đơn vị rà soát, xác định lại mức độ tự chủ tài chính, phân loại đơn vị sự nghiệp công lập, xác định mức kinh phí ngân sách giao thực hiện chế độ tự chủ tài chính cho đơn vị sự nghiệp công lập trên địa bàn tỉnh giai đoạn 2022-2026 theo quy định tại Nghị định 60/2021/NĐ-CP ngày 21/6/2021 của Chính phủ, báo cáo UBND tỉnh xem xét.</w:t>
      </w:r>
    </w:p>
    <w:p w:rsidR="00AF4EE1" w:rsidRDefault="00AF4EE1" w:rsidP="002042BA">
      <w:pPr>
        <w:pStyle w:val="NormalWeb"/>
        <w:spacing w:before="60" w:beforeAutospacing="0" w:after="60" w:afterAutospacing="0" w:line="320" w:lineRule="exact"/>
        <w:ind w:firstLine="720"/>
        <w:jc w:val="both"/>
        <w:rPr>
          <w:color w:val="000000"/>
          <w:sz w:val="28"/>
          <w:szCs w:val="28"/>
        </w:rPr>
      </w:pPr>
      <w:proofErr w:type="gramStart"/>
      <w:r w:rsidRPr="002042BA">
        <w:rPr>
          <w:b/>
          <w:color w:val="000000"/>
          <w:sz w:val="28"/>
          <w:szCs w:val="28"/>
        </w:rPr>
        <w:t>Điều 3.</w:t>
      </w:r>
      <w:proofErr w:type="gramEnd"/>
      <w:r>
        <w:rPr>
          <w:color w:val="000000"/>
          <w:sz w:val="28"/>
          <w:szCs w:val="28"/>
        </w:rPr>
        <w:t xml:space="preserve"> </w:t>
      </w:r>
      <w:proofErr w:type="gramStart"/>
      <w:r>
        <w:rPr>
          <w:color w:val="000000"/>
          <w:sz w:val="28"/>
          <w:szCs w:val="28"/>
        </w:rPr>
        <w:t>Quyết định có hiệu lực</w:t>
      </w:r>
      <w:r w:rsidR="002042BA">
        <w:rPr>
          <w:color w:val="000000"/>
          <w:sz w:val="28"/>
          <w:szCs w:val="28"/>
        </w:rPr>
        <w:t xml:space="preserve"> kể từ ngày ký.</w:t>
      </w:r>
      <w:proofErr w:type="gramEnd"/>
    </w:p>
    <w:p w:rsidR="002042BA" w:rsidRDefault="002042BA" w:rsidP="002042BA">
      <w:pPr>
        <w:pStyle w:val="NormalWeb"/>
        <w:spacing w:before="60" w:beforeAutospacing="0" w:after="60" w:afterAutospacing="0" w:line="320" w:lineRule="exact"/>
        <w:ind w:firstLine="720"/>
        <w:jc w:val="both"/>
        <w:rPr>
          <w:color w:val="000000"/>
          <w:sz w:val="28"/>
          <w:szCs w:val="28"/>
        </w:rPr>
      </w:pPr>
      <w:r>
        <w:rPr>
          <w:color w:val="000000"/>
          <w:sz w:val="28"/>
          <w:szCs w:val="28"/>
        </w:rPr>
        <w:t>Chánh Văn phòng UBND tỉnh; Giám đốc Sở Tài chính; Giám đốc Kho bạc Nhà nước tỉnh; Thủ trưởng các đơn vị nêu tại Điều 1 và Thủ trưởng các cơ quan, đơn vị có liên quan căn cứ Quyết định thi hành./.</w:t>
      </w:r>
    </w:p>
    <w:p w:rsidR="002042BA" w:rsidRDefault="002042BA" w:rsidP="002042BA">
      <w:pPr>
        <w:pStyle w:val="NormalWeb"/>
        <w:spacing w:before="60" w:beforeAutospacing="0" w:after="60" w:afterAutospacing="0" w:line="360" w:lineRule="exact"/>
        <w:jc w:val="both"/>
        <w:rPr>
          <w:color w:val="000000"/>
          <w:sz w:val="28"/>
          <w:szCs w:val="28"/>
        </w:rPr>
      </w:pPr>
    </w:p>
    <w:p w:rsidR="002042BA" w:rsidRPr="002042BA" w:rsidRDefault="002042BA" w:rsidP="002042BA">
      <w:pPr>
        <w:pStyle w:val="NormalWeb"/>
        <w:spacing w:before="0" w:beforeAutospacing="0" w:after="0" w:afterAutospacing="0" w:line="360" w:lineRule="exact"/>
        <w:ind w:left="3600"/>
        <w:jc w:val="center"/>
        <w:rPr>
          <w:b/>
          <w:color w:val="000000"/>
          <w:sz w:val="28"/>
          <w:szCs w:val="28"/>
        </w:rPr>
      </w:pPr>
      <w:r w:rsidRPr="002042BA">
        <w:rPr>
          <w:b/>
          <w:color w:val="000000"/>
          <w:sz w:val="28"/>
          <w:szCs w:val="28"/>
        </w:rPr>
        <w:t>KT. CHỦ TỊCH</w:t>
      </w:r>
    </w:p>
    <w:p w:rsidR="002042BA" w:rsidRPr="002042BA" w:rsidRDefault="002042BA" w:rsidP="002042BA">
      <w:pPr>
        <w:pStyle w:val="NormalWeb"/>
        <w:spacing w:before="0" w:beforeAutospacing="0" w:after="0" w:afterAutospacing="0" w:line="360" w:lineRule="exact"/>
        <w:ind w:left="3600"/>
        <w:jc w:val="center"/>
        <w:rPr>
          <w:b/>
          <w:color w:val="000000"/>
          <w:sz w:val="28"/>
          <w:szCs w:val="28"/>
        </w:rPr>
      </w:pPr>
      <w:r w:rsidRPr="002042BA">
        <w:rPr>
          <w:b/>
          <w:color w:val="000000"/>
          <w:sz w:val="28"/>
          <w:szCs w:val="28"/>
        </w:rPr>
        <w:t>PHÓ CHỦ TỊCH</w:t>
      </w:r>
    </w:p>
    <w:p w:rsidR="002042BA" w:rsidRPr="002042BA" w:rsidRDefault="002042BA" w:rsidP="002042BA">
      <w:pPr>
        <w:pStyle w:val="NormalWeb"/>
        <w:spacing w:before="0" w:beforeAutospacing="0" w:after="0" w:afterAutospacing="0" w:line="360" w:lineRule="exact"/>
        <w:ind w:left="3600"/>
        <w:jc w:val="center"/>
        <w:rPr>
          <w:b/>
          <w:color w:val="000000"/>
          <w:sz w:val="28"/>
          <w:szCs w:val="28"/>
        </w:rPr>
      </w:pPr>
    </w:p>
    <w:p w:rsidR="002042BA" w:rsidRPr="002042BA" w:rsidRDefault="002042BA" w:rsidP="002042BA">
      <w:pPr>
        <w:pStyle w:val="NormalWeb"/>
        <w:spacing w:before="0" w:beforeAutospacing="0" w:after="0" w:afterAutospacing="0" w:line="360" w:lineRule="exact"/>
        <w:ind w:left="3600"/>
        <w:jc w:val="center"/>
        <w:rPr>
          <w:b/>
          <w:color w:val="000000"/>
          <w:sz w:val="28"/>
          <w:szCs w:val="28"/>
        </w:rPr>
      </w:pPr>
      <w:r w:rsidRPr="002042BA">
        <w:rPr>
          <w:b/>
          <w:color w:val="000000"/>
          <w:sz w:val="28"/>
          <w:szCs w:val="28"/>
        </w:rPr>
        <w:t>Vũ Việt Văn</w:t>
      </w:r>
    </w:p>
    <w:p w:rsidR="00DA7D90" w:rsidRPr="00461AA6" w:rsidRDefault="00DA7D90" w:rsidP="002042BA">
      <w:pPr>
        <w:pStyle w:val="BodyTextIndent"/>
        <w:spacing w:after="0"/>
        <w:ind w:left="3600"/>
        <w:rPr>
          <w:color w:val="000000"/>
          <w:sz w:val="12"/>
          <w:szCs w:val="12"/>
          <w:lang w:val="nl-NL"/>
        </w:rPr>
      </w:pPr>
    </w:p>
    <w:p w:rsidR="00DA7D90" w:rsidRPr="00461AA6" w:rsidRDefault="00DA7D90" w:rsidP="00DA7D90">
      <w:pPr>
        <w:rPr>
          <w:color w:val="000000"/>
          <w:szCs w:val="28"/>
        </w:rPr>
      </w:pPr>
    </w:p>
    <w:p w:rsidR="00DA7D90" w:rsidRPr="00461AA6" w:rsidRDefault="00DA7D90" w:rsidP="00DA7D90">
      <w:pPr>
        <w:pStyle w:val="NormalWeb"/>
        <w:spacing w:before="120" w:beforeAutospacing="0" w:after="0" w:afterAutospacing="0"/>
        <w:ind w:firstLine="720"/>
        <w:jc w:val="both"/>
        <w:rPr>
          <w:color w:val="000000"/>
          <w:spacing w:val="-2"/>
          <w:sz w:val="28"/>
          <w:szCs w:val="28"/>
        </w:rPr>
      </w:pPr>
    </w:p>
    <w:p w:rsidR="00674183" w:rsidRDefault="00674183"/>
    <w:sectPr w:rsidR="00674183" w:rsidSect="00DA7D90">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DA7D90"/>
    <w:rsid w:val="002042BA"/>
    <w:rsid w:val="00674183"/>
    <w:rsid w:val="00AF4EE1"/>
    <w:rsid w:val="00DA7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7D90"/>
    <w:pPr>
      <w:keepNext/>
      <w:spacing w:before="240" w:after="60"/>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D90"/>
    <w:rPr>
      <w:rFonts w:ascii="Cambria" w:eastAsia="Times New Roman" w:hAnsi="Cambria" w:cs="Times New Roman"/>
      <w:b/>
      <w:bCs/>
      <w:kern w:val="32"/>
      <w:sz w:val="32"/>
      <w:szCs w:val="32"/>
      <w:lang/>
    </w:rPr>
  </w:style>
  <w:style w:type="paragraph" w:styleId="NormalWeb">
    <w:name w:val="Normal (Web)"/>
    <w:basedOn w:val="Normal"/>
    <w:uiPriority w:val="99"/>
    <w:unhideWhenUsed/>
    <w:rsid w:val="00DA7D90"/>
    <w:pPr>
      <w:spacing w:before="100" w:beforeAutospacing="1" w:after="100" w:afterAutospacing="1"/>
    </w:pPr>
  </w:style>
  <w:style w:type="paragraph" w:styleId="FootnoteText">
    <w:name w:val="footnote text"/>
    <w:basedOn w:val="Normal"/>
    <w:link w:val="FootnoteTextChar"/>
    <w:rsid w:val="00DA7D90"/>
    <w:rPr>
      <w:sz w:val="20"/>
      <w:szCs w:val="20"/>
    </w:rPr>
  </w:style>
  <w:style w:type="character" w:customStyle="1" w:styleId="FootnoteTextChar">
    <w:name w:val="Footnote Text Char"/>
    <w:basedOn w:val="DefaultParagraphFont"/>
    <w:link w:val="FootnoteText"/>
    <w:rsid w:val="00DA7D90"/>
    <w:rPr>
      <w:rFonts w:ascii="Times New Roman" w:eastAsia="Times New Roman" w:hAnsi="Times New Roman" w:cs="Times New Roman"/>
      <w:sz w:val="20"/>
      <w:szCs w:val="20"/>
    </w:rPr>
  </w:style>
  <w:style w:type="paragraph" w:styleId="BodyTextIndent">
    <w:name w:val="Body Text Indent"/>
    <w:basedOn w:val="Normal"/>
    <w:link w:val="BodyTextIndentChar"/>
    <w:rsid w:val="00DA7D90"/>
    <w:pPr>
      <w:spacing w:after="120"/>
      <w:ind w:left="360"/>
    </w:pPr>
  </w:style>
  <w:style w:type="character" w:customStyle="1" w:styleId="BodyTextIndentChar">
    <w:name w:val="Body Text Indent Char"/>
    <w:basedOn w:val="DefaultParagraphFont"/>
    <w:link w:val="BodyTextIndent"/>
    <w:rsid w:val="00DA7D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cp:revision>
  <dcterms:created xsi:type="dcterms:W3CDTF">2021-11-12T07:05:00Z</dcterms:created>
  <dcterms:modified xsi:type="dcterms:W3CDTF">2021-11-12T07:37:00Z</dcterms:modified>
</cp:coreProperties>
</file>