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0"/>
        <w:tblW w:w="9072" w:type="dxa"/>
        <w:tblInd w:w="108" w:type="dxa"/>
        <w:tblCellMar>
          <w:left w:w="108" w:type="dxa"/>
          <w:right w:w="108" w:type="dxa"/>
        </w:tblCellMar>
        <w:tblLook w:val="01E0"/>
      </w:tblPr>
      <w:tblGrid>
        <w:gridCol w:w="3402"/>
        <w:gridCol w:w="5670"/>
      </w:tblGrid>
      <w:tr w:rsidR="008A409B">
        <w:trPr>
          <w:trHeight w:val="853"/>
        </w:trPr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8A409B" w:rsidRDefault="00BF60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UỶ BAN NHÂN DÂN</w:t>
            </w:r>
          </w:p>
          <w:p w:rsidR="008A409B" w:rsidRDefault="00BF60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TỈNH VĨNH PHÚC</w:t>
            </w:r>
          </w:p>
          <w:p w:rsidR="008A409B" w:rsidRDefault="00D44712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Freeform 1" o:spid="_x0000_s1026" style="position:absolute;margin-left:61.9pt;margin-top:1.7pt;width:46.8pt;height:0;z-index:524289;visibility:visible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" adj="0,,0" path="m,l100000,1377303e">
                  <v:stroke joinstyle="round"/>
                  <v:formulas/>
                  <v:path arrowok="t" o:extrusionok="f" o:connecttype="segments" textboxrect="0,0,100000,0"/>
                </v:shape>
              </w:pict>
            </w:r>
          </w:p>
        </w:tc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8A409B" w:rsidRDefault="00BF60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8A409B" w:rsidRDefault="00BF60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>Độc lập  Tự do  Hạnh phúc</w:t>
            </w:r>
          </w:p>
          <w:p w:rsidR="008A409B" w:rsidRDefault="00D95D0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9.85pt;margin-top:1.75pt;width:155.4pt;height:0;z-index:251658240" o:connectortype="straight"/>
              </w:pict>
            </w:r>
          </w:p>
        </w:tc>
      </w:tr>
      <w:tr w:rsidR="008A409B"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8A409B" w:rsidRDefault="00BF6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D95D00">
              <w:rPr>
                <w:sz w:val="26"/>
                <w:szCs w:val="26"/>
              </w:rPr>
              <w:t>3123</w:t>
            </w:r>
            <w:r>
              <w:rPr>
                <w:sz w:val="26"/>
                <w:szCs w:val="26"/>
              </w:rPr>
              <w:t>/QĐ-UBND</w:t>
            </w:r>
          </w:p>
          <w:p w:rsidR="008A409B" w:rsidRDefault="008A40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8A409B" w:rsidRDefault="00BF6023" w:rsidP="00D95D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Vĩnh Phúc, ngày </w:t>
            </w:r>
            <w:r w:rsidR="00D95D00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D95D00">
              <w:rPr>
                <w:i/>
                <w:sz w:val="28"/>
                <w:szCs w:val="28"/>
              </w:rPr>
              <w:t>11</w:t>
            </w:r>
            <w:r>
              <w:rPr>
                <w:i/>
                <w:sz w:val="28"/>
                <w:szCs w:val="28"/>
              </w:rPr>
              <w:t xml:space="preserve"> năm 2021</w:t>
            </w:r>
          </w:p>
        </w:tc>
      </w:tr>
    </w:tbl>
    <w:p w:rsidR="008A409B" w:rsidRDefault="00BF6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8A409B" w:rsidRDefault="00BF6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công nhận danh hiệu “Làng nghề truyền thống Vĩnh Phúc”</w:t>
      </w:r>
    </w:p>
    <w:p w:rsidR="008A409B" w:rsidRDefault="00D95D00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151.35pt;margin-top:1.4pt;width:151.8pt;height:0;z-index:251659264" o:connectortype="straight"/>
        </w:pict>
      </w:r>
    </w:p>
    <w:p w:rsidR="008A409B" w:rsidRDefault="00BF602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ỦY BAN NHÂN DÂN TỈNH VĨNH PHÚC</w:t>
      </w:r>
    </w:p>
    <w:p w:rsidR="008A409B" w:rsidRDefault="00BF6023">
      <w:pPr>
        <w:spacing w:before="120" w:after="120" w:line="36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8A409B" w:rsidRDefault="00BF6023">
      <w:pPr>
        <w:spacing w:before="120" w:after="120" w:line="36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Nghịđịnh số 52/2018/NĐ-CP ngày 12 tháng 4 năm 2018 của Chính phủ về phát triển ngành nghề nông thôn;</w:t>
      </w:r>
    </w:p>
    <w:p w:rsidR="008A409B" w:rsidRDefault="00BF6023">
      <w:pPr>
        <w:spacing w:before="120" w:after="120" w:line="36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Quyết định số 12/2020/QĐ-UBND ngày 18 tháng 3năm 2020 của UBND tỉnh về Quy định một số nội dung thực hiện Nghị định số 52/2018/NĐ-CP ngày 12 tháng 4 năm 2018 của Chính phủ về phát triển ngành nghề nông thôn trên địa bàn tỉnh Vĩnh Phúc;</w:t>
      </w:r>
    </w:p>
    <w:p w:rsidR="00DA6313" w:rsidRDefault="00DA6313" w:rsidP="00DA6313">
      <w:pPr>
        <w:spacing w:before="120" w:after="120" w:line="288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ý kiến thống nhất của Chủ tịch UBND tỉnh và các Phó Chủ tịch UBND tỉnh tại phiếu 3655 kèm theo </w:t>
      </w:r>
      <w:r w:rsidRPr="00E55BFA">
        <w:rPr>
          <w:i/>
          <w:sz w:val="28"/>
          <w:szCs w:val="28"/>
        </w:rPr>
        <w:t>Tờ trình số</w:t>
      </w:r>
      <w:r>
        <w:rPr>
          <w:i/>
          <w:sz w:val="28"/>
          <w:szCs w:val="28"/>
        </w:rPr>
        <w:t xml:space="preserve"> 301</w:t>
      </w:r>
      <w:r w:rsidRPr="00464DF8">
        <w:rPr>
          <w:rFonts w:eastAsia="Times New Roman"/>
          <w:i/>
          <w:sz w:val="28"/>
          <w:szCs w:val="28"/>
        </w:rPr>
        <w:t xml:space="preserve">/TTr-SNN&amp;PTNT ngày </w:t>
      </w:r>
      <w:r>
        <w:rPr>
          <w:rFonts w:eastAsia="Times New Roman"/>
          <w:i/>
          <w:sz w:val="28"/>
          <w:szCs w:val="28"/>
        </w:rPr>
        <w:t xml:space="preserve">02 tháng </w:t>
      </w:r>
      <w:r w:rsidRPr="00464DF8">
        <w:rPr>
          <w:rFonts w:eastAsia="Times New Roman"/>
          <w:i/>
          <w:sz w:val="28"/>
          <w:szCs w:val="28"/>
        </w:rPr>
        <w:t>1</w:t>
      </w:r>
      <w:r>
        <w:rPr>
          <w:rFonts w:eastAsia="Times New Roman"/>
          <w:i/>
          <w:sz w:val="28"/>
          <w:szCs w:val="28"/>
        </w:rPr>
        <w:t xml:space="preserve">1 năm </w:t>
      </w:r>
      <w:r w:rsidRPr="00464DF8">
        <w:rPr>
          <w:rFonts w:eastAsia="Times New Roman"/>
          <w:i/>
          <w:sz w:val="28"/>
          <w:szCs w:val="28"/>
        </w:rPr>
        <w:t>2021</w:t>
      </w:r>
      <w:r>
        <w:rPr>
          <w:rFonts w:eastAsia="Times New Roman"/>
          <w:i/>
          <w:sz w:val="28"/>
          <w:szCs w:val="28"/>
        </w:rPr>
        <w:t xml:space="preserve"> </w:t>
      </w:r>
      <w:r w:rsidRPr="00E55BFA">
        <w:rPr>
          <w:i/>
          <w:sz w:val="28"/>
          <w:szCs w:val="28"/>
        </w:rPr>
        <w:t>của Sở Nông nghiệp</w:t>
      </w:r>
      <w:r>
        <w:rPr>
          <w:i/>
          <w:sz w:val="28"/>
          <w:szCs w:val="28"/>
        </w:rPr>
        <w:t xml:space="preserve"> và Phát triển nông thôn;</w:t>
      </w:r>
    </w:p>
    <w:p w:rsidR="008A409B" w:rsidRDefault="00BF6023">
      <w:pPr>
        <w:spacing w:before="120" w:after="120" w:line="36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 đề nghị củ</w:t>
      </w:r>
      <w:r w:rsidR="001F07A7">
        <w:rPr>
          <w:i/>
          <w:sz w:val="28"/>
          <w:szCs w:val="28"/>
        </w:rPr>
        <w:t xml:space="preserve">a </w:t>
      </w:r>
      <w:r w:rsidR="00643638" w:rsidRPr="00E55BFA">
        <w:rPr>
          <w:i/>
          <w:sz w:val="28"/>
          <w:szCs w:val="28"/>
        </w:rPr>
        <w:t xml:space="preserve">Theo đề nghị của Sở Nông nghiệp </w:t>
      </w:r>
      <w:r w:rsidR="00643638">
        <w:rPr>
          <w:i/>
          <w:sz w:val="28"/>
          <w:szCs w:val="28"/>
        </w:rPr>
        <w:t>và Phát triển nông thôn</w:t>
      </w:r>
      <w:r w:rsidR="00643638" w:rsidRPr="00E55BFA">
        <w:rPr>
          <w:i/>
          <w:sz w:val="28"/>
          <w:szCs w:val="28"/>
        </w:rPr>
        <w:t xml:space="preserve"> (Cơ quan thường trực</w:t>
      </w:r>
      <w:r w:rsidR="006436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Hội đồng xét công nhận nghề truyền thống, làng nghề, làng nghề truyền thống năm 2021</w:t>
      </w:r>
      <w:r w:rsidR="0064363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tại Tờ trình số</w:t>
      </w:r>
      <w:r w:rsidR="00760B8A">
        <w:rPr>
          <w:i/>
          <w:sz w:val="28"/>
          <w:szCs w:val="28"/>
        </w:rPr>
        <w:t xml:space="preserve"> 301</w:t>
      </w:r>
      <w:r>
        <w:rPr>
          <w:i/>
          <w:sz w:val="28"/>
          <w:szCs w:val="28"/>
        </w:rPr>
        <w:t xml:space="preserve">/TTr-HĐ ngày </w:t>
      </w:r>
      <w:r w:rsidR="00760B8A">
        <w:rPr>
          <w:i/>
          <w:sz w:val="28"/>
          <w:szCs w:val="28"/>
        </w:rPr>
        <w:t xml:space="preserve">02 </w:t>
      </w:r>
      <w:r>
        <w:rPr>
          <w:i/>
          <w:sz w:val="28"/>
          <w:szCs w:val="28"/>
        </w:rPr>
        <w:t>tháng 1</w:t>
      </w:r>
      <w:r w:rsidR="00760B8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năm 2021.</w:t>
      </w:r>
    </w:p>
    <w:p w:rsidR="008A409B" w:rsidRDefault="00BF6023" w:rsidP="00D95D00">
      <w:pPr>
        <w:spacing w:before="120"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D95D00" w:rsidRDefault="00D95D00">
      <w:pPr>
        <w:spacing w:before="120" w:after="120" w:line="360" w:lineRule="exact"/>
        <w:ind w:firstLine="720"/>
        <w:jc w:val="center"/>
        <w:rPr>
          <w:b/>
          <w:sz w:val="28"/>
          <w:szCs w:val="28"/>
        </w:rPr>
      </w:pPr>
    </w:p>
    <w:p w:rsidR="008A409B" w:rsidRDefault="00BF6023">
      <w:pPr>
        <w:spacing w:before="120" w:after="120" w:line="360" w:lineRule="exact"/>
        <w:ind w:firstLine="720"/>
        <w:jc w:val="both"/>
        <w:rPr>
          <w:b/>
          <w:sz w:val="28"/>
          <w:szCs w:val="28"/>
        </w:rPr>
      </w:pPr>
      <w:r w:rsidRPr="000774CE">
        <w:rPr>
          <w:b/>
          <w:sz w:val="28"/>
          <w:szCs w:val="28"/>
        </w:rPr>
        <w:t>Điều 1.</w:t>
      </w:r>
      <w:r w:rsidR="000774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Công nhận danh hiệu “Làng nghề truyền thống Vĩnh Phúc”</w:t>
      </w:r>
    </w:p>
    <w:p w:rsidR="00643638" w:rsidRDefault="000774CE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023">
        <w:rPr>
          <w:sz w:val="28"/>
          <w:szCs w:val="28"/>
        </w:rPr>
        <w:t>Cấp bằng công nhận danh hiệu “Làng nghề truyền thống Vĩnh Phúc”</w:t>
      </w:r>
      <w:r w:rsidR="00BF6023">
        <w:rPr>
          <w:spacing w:val="-5"/>
          <w:sz w:val="28"/>
          <w:szCs w:val="28"/>
        </w:rPr>
        <w:t xml:space="preserve">đối với </w:t>
      </w:r>
      <w:r w:rsidR="00BF6023">
        <w:rPr>
          <w:sz w:val="28"/>
          <w:szCs w:val="28"/>
        </w:rPr>
        <w:t>làng nghề mộc truyền thống thôn Bàn Mạch, xã Tân Phú, huyện Vĩnh Tường</w:t>
      </w:r>
      <w:r w:rsidR="00643638">
        <w:rPr>
          <w:sz w:val="28"/>
          <w:szCs w:val="28"/>
        </w:rPr>
        <w:t>, tỉnh Vĩnh Phúc;</w:t>
      </w:r>
    </w:p>
    <w:p w:rsidR="008A409B" w:rsidRDefault="00BF6023">
      <w:pPr>
        <w:spacing w:before="120" w:after="120" w:line="360" w:lineRule="exact"/>
        <w:ind w:firstLine="720"/>
        <w:jc w:val="both"/>
        <w:rPr>
          <w:spacing w:val="-5"/>
          <w:sz w:val="28"/>
        </w:rPr>
      </w:pPr>
      <w:r>
        <w:rPr>
          <w:sz w:val="28"/>
          <w:szCs w:val="28"/>
        </w:rPr>
        <w:t xml:space="preserve"> </w:t>
      </w:r>
      <w:r w:rsidR="00643638">
        <w:rPr>
          <w:sz w:val="28"/>
          <w:szCs w:val="28"/>
        </w:rPr>
        <w:t xml:space="preserve">Làng nghề truyền thống được </w:t>
      </w:r>
      <w:r w:rsidR="00046CCC">
        <w:rPr>
          <w:sz w:val="28"/>
          <w:szCs w:val="28"/>
        </w:rPr>
        <w:t xml:space="preserve">cấp bằng công nhận và </w:t>
      </w:r>
      <w:r>
        <w:rPr>
          <w:spacing w:val="-5"/>
          <w:sz w:val="28"/>
          <w:szCs w:val="28"/>
        </w:rPr>
        <w:t>tiền hỗ trợ là</w:t>
      </w:r>
      <w:r>
        <w:rPr>
          <w:spacing w:val="-5"/>
          <w:sz w:val="28"/>
        </w:rPr>
        <w:t xml:space="preserve"> 50.000.000 đồng </w:t>
      </w:r>
      <w:r w:rsidRPr="00046CCC">
        <w:rPr>
          <w:i/>
          <w:spacing w:val="-5"/>
          <w:sz w:val="28"/>
        </w:rPr>
        <w:t>(Năm mươi triệu đồng chẵn)</w:t>
      </w:r>
      <w:r w:rsidR="00643638">
        <w:rPr>
          <w:spacing w:val="-5"/>
          <w:sz w:val="28"/>
        </w:rPr>
        <w:t xml:space="preserve"> </w:t>
      </w:r>
      <w:r w:rsidR="00643638">
        <w:rPr>
          <w:sz w:val="28"/>
          <w:szCs w:val="28"/>
        </w:rPr>
        <w:t>trích từ nguồn kinh phí đã giao cho Sở Nông nghiệp và Ph</w:t>
      </w:r>
      <w:r w:rsidR="00046CCC">
        <w:rPr>
          <w:sz w:val="28"/>
          <w:szCs w:val="28"/>
        </w:rPr>
        <w:t>á</w:t>
      </w:r>
      <w:r w:rsidR="00643638">
        <w:rPr>
          <w:sz w:val="28"/>
          <w:szCs w:val="28"/>
        </w:rPr>
        <w:t>t triển nông thôn tại Quyết định số 3156/QĐ-UBND ngày 15/12/2020 của UBND tỉnh về giao dự toán thu, chi ngân sách Nhà nước năm 2021</w:t>
      </w:r>
      <w:r w:rsidR="00046CCC">
        <w:rPr>
          <w:sz w:val="28"/>
          <w:szCs w:val="28"/>
        </w:rPr>
        <w:t xml:space="preserve"> </w:t>
      </w:r>
      <w:r w:rsidR="00643638">
        <w:rPr>
          <w:sz w:val="28"/>
          <w:szCs w:val="28"/>
        </w:rPr>
        <w:t>-</w:t>
      </w:r>
      <w:r w:rsidR="009E731A">
        <w:rPr>
          <w:sz w:val="28"/>
          <w:szCs w:val="28"/>
        </w:rPr>
        <w:t xml:space="preserve"> T</w:t>
      </w:r>
      <w:r w:rsidR="00643638">
        <w:rPr>
          <w:sz w:val="28"/>
          <w:szCs w:val="28"/>
        </w:rPr>
        <w:t>ỉnh Vĩnh Phúc</w:t>
      </w:r>
      <w:r>
        <w:rPr>
          <w:spacing w:val="-5"/>
          <w:sz w:val="28"/>
        </w:rPr>
        <w:t>.</w:t>
      </w:r>
    </w:p>
    <w:p w:rsidR="008A409B" w:rsidRDefault="000774CE" w:rsidP="00D95D00">
      <w:pPr>
        <w:pBdr>
          <w:bottom w:val="none" w:sz="4" w:space="1" w:color="000000"/>
        </w:pBd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F6023">
        <w:rPr>
          <w:sz w:val="28"/>
          <w:szCs w:val="28"/>
        </w:rPr>
        <w:t xml:space="preserve"> Giao Sở Nông nghiệp </w:t>
      </w:r>
      <w:r w:rsidR="004049C6">
        <w:rPr>
          <w:sz w:val="28"/>
          <w:szCs w:val="28"/>
        </w:rPr>
        <w:t>và Phát triển nông thôn</w:t>
      </w:r>
      <w:r w:rsidR="00BF6023">
        <w:rPr>
          <w:sz w:val="28"/>
          <w:szCs w:val="28"/>
        </w:rPr>
        <w:t xml:space="preserve"> căn cứ điều kiện thực tế thực hiện trao Bằng công nhận và tiền hỗ trợ cho địa phương có làng nghề truyền thống được công nhận</w:t>
      </w:r>
      <w:r w:rsidR="004049C6">
        <w:rPr>
          <w:sz w:val="28"/>
          <w:szCs w:val="28"/>
        </w:rPr>
        <w:t xml:space="preserve"> nói tại Điều 1.</w:t>
      </w:r>
      <w:bookmarkStart w:id="0" w:name="_GoBack"/>
      <w:bookmarkEnd w:id="0"/>
    </w:p>
    <w:p w:rsidR="008A409B" w:rsidRDefault="00BF6023" w:rsidP="00D95D00">
      <w:pPr>
        <w:pBdr>
          <w:bottom w:val="none" w:sz="4" w:space="1" w:color="000000"/>
        </w:pBd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2</w:t>
      </w:r>
      <w:r>
        <w:rPr>
          <w:sz w:val="28"/>
          <w:szCs w:val="28"/>
        </w:rPr>
        <w:t>.</w:t>
      </w:r>
      <w:r w:rsidR="00B10712">
        <w:rPr>
          <w:sz w:val="28"/>
          <w:szCs w:val="28"/>
        </w:rPr>
        <w:t xml:space="preserve"> </w:t>
      </w:r>
      <w:r>
        <w:rPr>
          <w:sz w:val="28"/>
          <w:szCs w:val="28"/>
        </w:rPr>
        <w:t>Quyết định này có hiệu lực kể từ ngày ký.</w:t>
      </w:r>
    </w:p>
    <w:p w:rsidR="008A409B" w:rsidRDefault="00BF6023" w:rsidP="00D95D00">
      <w:pPr>
        <w:pBdr>
          <w:bottom w:val="none" w:sz="4" w:space="1" w:color="000000"/>
        </w:pBd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Chánh văn phòng UBND tỉnh; Thủ trưởng các Sở, ngành: Nông nghiệp </w:t>
      </w:r>
      <w:r w:rsidR="00861653">
        <w:rPr>
          <w:sz w:val="28"/>
          <w:szCs w:val="28"/>
        </w:rPr>
        <w:t>và Phát triển nông thôn</w:t>
      </w:r>
      <w:r>
        <w:rPr>
          <w:sz w:val="28"/>
          <w:szCs w:val="28"/>
        </w:rPr>
        <w:t>, Tài Chính, Kho bạc Nhà nước tỉnh và các cơ quan liên quan; UBND huyện Vĩnh Tường; UBND xã Tân Phú và các tổ chức, cá nhân liên quan căn cứ Quyết định thi hành./.</w:t>
      </w:r>
    </w:p>
    <w:p w:rsidR="00D95D00" w:rsidRDefault="00D95D00" w:rsidP="00D95D00">
      <w:pPr>
        <w:pBdr>
          <w:bottom w:val="none" w:sz="4" w:space="1" w:color="000000"/>
        </w:pBdr>
        <w:spacing w:before="120" w:after="120" w:line="360" w:lineRule="exact"/>
        <w:ind w:firstLine="720"/>
        <w:jc w:val="both"/>
        <w:rPr>
          <w:sz w:val="28"/>
          <w:szCs w:val="28"/>
        </w:rPr>
      </w:pPr>
    </w:p>
    <w:tbl>
      <w:tblPr>
        <w:tblStyle w:val="GenStyleDefTable0"/>
        <w:tblW w:w="8174" w:type="dxa"/>
        <w:tblInd w:w="108" w:type="dxa"/>
        <w:tblCellMar>
          <w:left w:w="108" w:type="dxa"/>
          <w:right w:w="108" w:type="dxa"/>
        </w:tblCellMar>
        <w:tblLook w:val="00A0"/>
      </w:tblPr>
      <w:tblGrid>
        <w:gridCol w:w="3780"/>
        <w:gridCol w:w="4394"/>
      </w:tblGrid>
      <w:tr w:rsidR="00046CCC" w:rsidTr="00D95D00"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6CCC" w:rsidRDefault="00046CCC" w:rsidP="00D71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6CCC" w:rsidRDefault="00046CCC" w:rsidP="00D715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UỶ BAN NHÂN DÂN</w:t>
            </w:r>
          </w:p>
          <w:p w:rsidR="00046CCC" w:rsidRDefault="00046CCC" w:rsidP="00D715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 CHỦ TỊCH</w:t>
            </w:r>
          </w:p>
          <w:p w:rsidR="00046CCC" w:rsidRDefault="00046CCC" w:rsidP="00D715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CHỦ TỊCH</w:t>
            </w:r>
          </w:p>
          <w:p w:rsidR="00046CCC" w:rsidRDefault="00046CCC" w:rsidP="00D715A1">
            <w:pPr>
              <w:ind w:right="-531"/>
              <w:rPr>
                <w:b/>
                <w:sz w:val="26"/>
                <w:szCs w:val="26"/>
              </w:rPr>
            </w:pPr>
          </w:p>
          <w:p w:rsidR="00046CCC" w:rsidRDefault="00046CCC" w:rsidP="00D71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Văn Khước</w:t>
            </w:r>
          </w:p>
        </w:tc>
      </w:tr>
    </w:tbl>
    <w:p w:rsidR="00046CCC" w:rsidRDefault="00046CCC" w:rsidP="00046CCC"/>
    <w:p w:rsidR="00046CCC" w:rsidRDefault="00046CCC">
      <w:pPr>
        <w:spacing w:before="120" w:after="120" w:line="360" w:lineRule="exact"/>
        <w:ind w:firstLine="720"/>
        <w:jc w:val="both"/>
        <w:rPr>
          <w:sz w:val="26"/>
          <w:szCs w:val="26"/>
        </w:rPr>
      </w:pPr>
    </w:p>
    <w:p w:rsidR="008A409B" w:rsidRDefault="008A409B">
      <w:pPr>
        <w:spacing w:before="120"/>
        <w:ind w:firstLine="720"/>
        <w:jc w:val="both"/>
        <w:rPr>
          <w:sz w:val="18"/>
          <w:szCs w:val="28"/>
        </w:rPr>
      </w:pPr>
    </w:p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p w:rsidR="008A409B" w:rsidRDefault="008A409B"/>
    <w:sectPr w:rsidR="008A409B" w:rsidSect="00D95D00">
      <w:footerReference w:type="even" r:id="rId6"/>
      <w:footerReference w:type="default" r:id="rId7"/>
      <w:footerReference w:type="first" r:id="rId8"/>
      <w:pgSz w:w="11907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C8" w:rsidRDefault="009364C8">
      <w:r>
        <w:separator/>
      </w:r>
    </w:p>
  </w:endnote>
  <w:endnote w:type="continuationSeparator" w:id="1">
    <w:p w:rsidR="009364C8" w:rsidRDefault="0093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9B" w:rsidRDefault="008A409B">
    <w:pPr>
      <w:pStyle w:val="Footer"/>
      <w:framePr w:wrap="around" w:vAnchor="text" w:hAnchor="margin" w:xAlign="right" w:y="1"/>
      <w:rPr>
        <w:rStyle w:val="PageNumber"/>
      </w:rPr>
    </w:pPr>
  </w:p>
  <w:p w:rsidR="008A409B" w:rsidRDefault="008A40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CC" w:rsidRDefault="00046CCC">
    <w:pPr>
      <w:pStyle w:val="Footer"/>
      <w:jc w:val="right"/>
    </w:pPr>
  </w:p>
  <w:p w:rsidR="008A409B" w:rsidRDefault="008A409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CC" w:rsidRDefault="00046CCC">
    <w:pPr>
      <w:pStyle w:val="Footer"/>
      <w:jc w:val="right"/>
    </w:pPr>
  </w:p>
  <w:p w:rsidR="00046CCC" w:rsidRDefault="00046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C8" w:rsidRDefault="009364C8">
      <w:pPr>
        <w:pStyle w:val="GenStyleDefPar"/>
      </w:pPr>
      <w:r>
        <w:separator/>
      </w:r>
    </w:p>
  </w:footnote>
  <w:footnote w:type="continuationSeparator" w:id="1">
    <w:p w:rsidR="009364C8" w:rsidRDefault="009364C8">
      <w:pPr>
        <w:pStyle w:val="GenStyleDefPa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09B"/>
    <w:rsid w:val="00046CCC"/>
    <w:rsid w:val="000774CE"/>
    <w:rsid w:val="001F07A7"/>
    <w:rsid w:val="004049C6"/>
    <w:rsid w:val="00643638"/>
    <w:rsid w:val="00760B8A"/>
    <w:rsid w:val="00861653"/>
    <w:rsid w:val="008A409B"/>
    <w:rsid w:val="008C3831"/>
    <w:rsid w:val="009364C8"/>
    <w:rsid w:val="00953466"/>
    <w:rsid w:val="009E731A"/>
    <w:rsid w:val="00B10712"/>
    <w:rsid w:val="00BF6023"/>
    <w:rsid w:val="00D44712"/>
    <w:rsid w:val="00D95D00"/>
    <w:rsid w:val="00DA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4712"/>
    <w:rPr>
      <w:rFonts w:eastAsia="Calibri"/>
      <w:sz w:val="24"/>
      <w:szCs w:val="24"/>
      <w:lang w:bidi="ar-SA"/>
    </w:rPr>
  </w:style>
  <w:style w:type="paragraph" w:styleId="Heading1">
    <w:name w:val="heading 1"/>
    <w:basedOn w:val="Normal"/>
    <w:next w:val="Normal"/>
    <w:uiPriority w:val="9"/>
    <w:qFormat/>
    <w:rsid w:val="00D4471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D4471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rsid w:val="00D4471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rsid w:val="00D4471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rsid w:val="00D4471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rsid w:val="00D4471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rsid w:val="00D4471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uiPriority w:val="9"/>
    <w:unhideWhenUsed/>
    <w:qFormat/>
    <w:rsid w:val="00D44712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rsid w:val="00D4471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1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44712"/>
    <w:rPr>
      <w:color w:val="000000"/>
    </w:rPr>
  </w:style>
  <w:style w:type="paragraph" w:styleId="Title">
    <w:name w:val="Title"/>
    <w:basedOn w:val="Normal"/>
    <w:next w:val="Normal"/>
    <w:uiPriority w:val="10"/>
    <w:qFormat/>
    <w:rsid w:val="00D44712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D44712"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D4471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D4471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eGrid">
    <w:name w:val="Table Grid"/>
    <w:basedOn w:val="TableNormal"/>
    <w:uiPriority w:val="59"/>
    <w:rsid w:val="00D44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D4471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D4471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D4471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D4471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D4471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D4471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D4471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D44712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D44712"/>
    <w:rPr>
      <w:color w:val="0000FF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rsid w:val="00D44712"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4471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71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447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712"/>
  </w:style>
  <w:style w:type="table" w:customStyle="1" w:styleId="GenStyleDefTable">
    <w:name w:val="GenStyleDefTable"/>
    <w:rsid w:val="00D447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rsid w:val="00D4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D44712"/>
    <w:rPr>
      <w:rFonts w:eastAsia="Calibri"/>
      <w:sz w:val="24"/>
      <w:szCs w:val="24"/>
    </w:rPr>
  </w:style>
  <w:style w:type="character" w:customStyle="1" w:styleId="GenStyleDefChar">
    <w:name w:val="GenStyleDefChar"/>
    <w:rsid w:val="00D44712"/>
  </w:style>
  <w:style w:type="numbering" w:customStyle="1" w:styleId="GenStyleDefNum">
    <w:name w:val="GenStyleDefNum"/>
    <w:rsid w:val="00D44712"/>
  </w:style>
  <w:style w:type="paragraph" w:customStyle="1" w:styleId="GenStyleDefPar">
    <w:name w:val="GenStyleDefPar"/>
    <w:rsid w:val="00D44712"/>
  </w:style>
  <w:style w:type="table" w:customStyle="1" w:styleId="GenStyleDefTable0">
    <w:name w:val="GenStyleDefTable"/>
    <w:rsid w:val="00D4471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46CCC"/>
    <w:rPr>
      <w:rFonts w:eastAsia="Calibri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</cp:revision>
  <dcterms:created xsi:type="dcterms:W3CDTF">2021-11-23T01:47:00Z</dcterms:created>
  <dcterms:modified xsi:type="dcterms:W3CDTF">2021-11-23T01:47:00Z</dcterms:modified>
</cp:coreProperties>
</file>