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enStyleDefTable0"/>
        <w:tblW w:w="10184" w:type="dxa"/>
        <w:tblInd w:w="-702" w:type="dxa"/>
        <w:tblCellMar>
          <w:top w:w="0" w:type="dxa"/>
          <w:left w:w="108" w:type="dxa"/>
          <w:bottom w:w="0" w:type="dxa"/>
          <w:right w:w="108" w:type="dxa"/>
        </w:tblCellMar>
        <w:tblLook w:val="04A0"/>
      </w:tblPr>
      <w:tblGrid>
        <w:gridCol w:w="4230"/>
        <w:gridCol w:w="674"/>
        <w:gridCol w:w="4644"/>
        <w:gridCol w:w="636"/>
      </w:tblGrid>
      <w:tr w:rsidR="00DC132C" w:rsidTr="00B911CF">
        <w:trPr>
          <w:gridAfter w:val="1"/>
          <w:wAfter w:w="636" w:type="dxa"/>
          <w:cantSplit/>
        </w:trPr>
        <w:tc>
          <w:tcPr>
            <w:tcW w:w="4904" w:type="dxa"/>
            <w:gridSpan w:val="2"/>
            <w:tcBorders>
              <w:top w:val="none" w:sz="0" w:space="0" w:color="000000"/>
              <w:left w:val="none" w:sz="0" w:space="0" w:color="000000"/>
              <w:bottom w:val="none" w:sz="0" w:space="0" w:color="000000"/>
              <w:right w:val="none" w:sz="0" w:space="0" w:color="000000"/>
            </w:tcBorders>
            <w:noWrap/>
          </w:tcPr>
          <w:p w:rsidR="00DC132C" w:rsidRDefault="00DC132C">
            <w:pPr>
              <w:spacing w:before="0"/>
            </w:pPr>
          </w:p>
        </w:tc>
        <w:tc>
          <w:tcPr>
            <w:tcW w:w="4644" w:type="dxa"/>
            <w:tcBorders>
              <w:top w:val="none" w:sz="0" w:space="0" w:color="000000"/>
              <w:left w:val="none" w:sz="0" w:space="0" w:color="000000"/>
              <w:bottom w:val="none" w:sz="0" w:space="0" w:color="000000"/>
              <w:right w:val="none" w:sz="0" w:space="0" w:color="000000"/>
            </w:tcBorders>
            <w:noWrap/>
          </w:tcPr>
          <w:p w:rsidR="00DC132C" w:rsidRDefault="00DC132C">
            <w:pPr>
              <w:spacing w:before="0"/>
              <w:ind w:firstLine="0"/>
              <w:jc w:val="center"/>
            </w:pPr>
          </w:p>
        </w:tc>
      </w:tr>
      <w:tr w:rsidR="00DC132C" w:rsidTr="00B911CF">
        <w:tc>
          <w:tcPr>
            <w:tcW w:w="4230" w:type="dxa"/>
            <w:tcBorders>
              <w:top w:val="none" w:sz="0" w:space="0" w:color="000000"/>
              <w:left w:val="none" w:sz="0" w:space="0" w:color="000000"/>
              <w:bottom w:val="none" w:sz="0" w:space="0" w:color="000000"/>
              <w:right w:val="none" w:sz="0" w:space="0" w:color="000000"/>
            </w:tcBorders>
            <w:noWrap/>
          </w:tcPr>
          <w:p w:rsidR="00DC132C" w:rsidRDefault="00DA24CB">
            <w:pPr>
              <w:pStyle w:val="Heading2"/>
              <w:keepNext w:val="0"/>
              <w:widowControl w:val="0"/>
              <w:spacing w:before="0"/>
              <w:ind w:firstLine="0"/>
              <w:rPr>
                <w:sz w:val="26"/>
                <w:lang w:val="nl-NL"/>
              </w:rPr>
            </w:pPr>
            <w:r>
              <w:rPr>
                <w:sz w:val="26"/>
                <w:lang w:val="nl-NL"/>
              </w:rPr>
              <w:t>ỦY BAN NHÂN DÂN</w:t>
            </w:r>
          </w:p>
          <w:p w:rsidR="00DC132C" w:rsidRDefault="00DA24CB">
            <w:pPr>
              <w:pStyle w:val="Heading2"/>
              <w:keepNext w:val="0"/>
              <w:widowControl w:val="0"/>
              <w:spacing w:before="0"/>
              <w:ind w:firstLine="0"/>
              <w:rPr>
                <w:sz w:val="26"/>
                <w:lang w:val="nl-NL"/>
              </w:rPr>
            </w:pPr>
            <w:r>
              <w:rPr>
                <w:sz w:val="26"/>
                <w:lang w:val="nl-NL"/>
              </w:rPr>
              <w:t>TỈNH VĨNH PHÚC</w:t>
            </w:r>
          </w:p>
          <w:p w:rsidR="00DC132C" w:rsidRDefault="00B911CF">
            <w:pPr>
              <w:spacing w:before="0"/>
              <w:ind w:firstLine="34"/>
              <w:jc w:val="center"/>
              <w:rPr>
                <w:szCs w:val="26"/>
                <w:lang w:val="nl-NL"/>
              </w:rPr>
            </w:pPr>
            <w:r>
              <w:rPr>
                <w:noProof/>
                <w:szCs w:val="26"/>
              </w:rPr>
              <w:pict>
                <v:shapetype id="_x0000_t32" coordsize="21600,21600" o:spt="32" o:oned="t" path="m,l21600,21600e" filled="f">
                  <v:path arrowok="t" fillok="f" o:connecttype="none"/>
                  <o:lock v:ext="edit" shapetype="t"/>
                </v:shapetype>
                <v:shape id="_x0000_s1032" type="#_x0000_t32" style="position:absolute;left:0;text-align:left;margin-left:70.65pt;margin-top:1.75pt;width:57pt;height:0;z-index:251658240" o:connectortype="straight"/>
              </w:pict>
            </w:r>
          </w:p>
          <w:p w:rsidR="00DC132C" w:rsidRDefault="00DA24CB">
            <w:pPr>
              <w:spacing w:before="0"/>
              <w:ind w:firstLine="34"/>
              <w:jc w:val="center"/>
              <w:rPr>
                <w:sz w:val="26"/>
                <w:szCs w:val="26"/>
                <w:lang w:val="nl-NL"/>
              </w:rPr>
            </w:pPr>
            <w:r>
              <w:rPr>
                <w:sz w:val="26"/>
                <w:szCs w:val="26"/>
                <w:lang w:val="nl-NL"/>
              </w:rPr>
              <w:t>Số:</w:t>
            </w:r>
            <w:r w:rsidR="00B911CF">
              <w:rPr>
                <w:sz w:val="26"/>
                <w:szCs w:val="26"/>
                <w:lang w:val="nl-NL"/>
              </w:rPr>
              <w:t xml:space="preserve"> 3111</w:t>
            </w:r>
            <w:r>
              <w:rPr>
                <w:sz w:val="26"/>
                <w:szCs w:val="26"/>
                <w:lang w:val="nl-NL"/>
              </w:rPr>
              <w:t>/QĐ-UBND</w:t>
            </w:r>
          </w:p>
          <w:p w:rsidR="00DC132C" w:rsidRDefault="00DC132C">
            <w:pPr>
              <w:spacing w:before="0"/>
              <w:jc w:val="center"/>
              <w:rPr>
                <w:b/>
                <w:lang w:val="nl-NL"/>
              </w:rPr>
            </w:pPr>
          </w:p>
        </w:tc>
        <w:tc>
          <w:tcPr>
            <w:tcW w:w="5954" w:type="dxa"/>
            <w:gridSpan w:val="3"/>
            <w:tcBorders>
              <w:top w:val="none" w:sz="0" w:space="0" w:color="000000"/>
              <w:left w:val="none" w:sz="0" w:space="0" w:color="000000"/>
              <w:bottom w:val="none" w:sz="0" w:space="0" w:color="000000"/>
              <w:right w:val="none" w:sz="0" w:space="0" w:color="000000"/>
            </w:tcBorders>
            <w:noWrap/>
          </w:tcPr>
          <w:p w:rsidR="00DC132C" w:rsidRDefault="00DA24CB">
            <w:pPr>
              <w:pStyle w:val="Heading2"/>
              <w:keepNext w:val="0"/>
              <w:widowControl w:val="0"/>
              <w:spacing w:before="0"/>
              <w:ind w:firstLine="0"/>
              <w:rPr>
                <w:lang w:val="nl-NL"/>
              </w:rPr>
            </w:pPr>
            <w:r>
              <w:rPr>
                <w:sz w:val="26"/>
                <w:szCs w:val="26"/>
                <w:lang w:val="nl-NL"/>
              </w:rPr>
              <w:t>CỘNG HOÀ XÃ HỘI CHỦ NGHĨA VIỆT NAM</w:t>
            </w:r>
          </w:p>
          <w:p w:rsidR="00DC132C" w:rsidRPr="00B911CF" w:rsidRDefault="00B911CF" w:rsidP="00B911CF">
            <w:pPr>
              <w:spacing w:before="0"/>
              <w:ind w:firstLine="0"/>
              <w:rPr>
                <w:b/>
                <w:sz w:val="28"/>
                <w:szCs w:val="28"/>
              </w:rPr>
            </w:pPr>
            <w:r>
              <w:rPr>
                <w:b/>
                <w:sz w:val="28"/>
                <w:szCs w:val="28"/>
              </w:rPr>
              <w:t xml:space="preserve">                 </w:t>
            </w:r>
            <w:r w:rsidR="00DA24CB" w:rsidRPr="00B911CF">
              <w:rPr>
                <w:b/>
                <w:sz w:val="28"/>
                <w:szCs w:val="28"/>
              </w:rPr>
              <w:t>Độc lập - Tự do - Hạnh phúc</w:t>
            </w:r>
          </w:p>
          <w:p w:rsidR="00DC132C" w:rsidRDefault="00B911CF">
            <w:pPr>
              <w:spacing w:before="0"/>
              <w:rPr>
                <w:b/>
              </w:rPr>
            </w:pPr>
            <w:r>
              <w:rPr>
                <w:b/>
                <w:noProof/>
              </w:rPr>
              <w:pict>
                <v:shape id="_x0000_s1033" type="#_x0000_t32" style="position:absolute;left:0;text-align:left;margin-left:62.35pt;margin-top:.6pt;width:164.4pt;height:0;z-index:251659264" o:connectortype="straight"/>
              </w:pict>
            </w:r>
          </w:p>
          <w:p w:rsidR="00DC132C" w:rsidRDefault="00DA24CB" w:rsidP="00B911CF">
            <w:pPr>
              <w:spacing w:before="0"/>
              <w:jc w:val="center"/>
              <w:rPr>
                <w:sz w:val="26"/>
                <w:szCs w:val="26"/>
              </w:rPr>
            </w:pPr>
            <w:r>
              <w:rPr>
                <w:i/>
                <w:sz w:val="26"/>
                <w:szCs w:val="26"/>
              </w:rPr>
              <w:t xml:space="preserve">Vĩnh Phúc, ngày </w:t>
            </w:r>
            <w:r w:rsidR="00B911CF">
              <w:rPr>
                <w:i/>
                <w:sz w:val="26"/>
                <w:szCs w:val="26"/>
              </w:rPr>
              <w:t>12</w:t>
            </w:r>
            <w:r>
              <w:rPr>
                <w:i/>
                <w:sz w:val="26"/>
                <w:szCs w:val="26"/>
              </w:rPr>
              <w:t xml:space="preserve"> tháng </w:t>
            </w:r>
            <w:r w:rsidR="00B911CF">
              <w:rPr>
                <w:i/>
                <w:sz w:val="26"/>
                <w:szCs w:val="26"/>
              </w:rPr>
              <w:t>11</w:t>
            </w:r>
            <w:r>
              <w:rPr>
                <w:i/>
                <w:sz w:val="26"/>
                <w:szCs w:val="26"/>
              </w:rPr>
              <w:t xml:space="preserve"> năm 2021</w:t>
            </w:r>
          </w:p>
        </w:tc>
      </w:tr>
    </w:tbl>
    <w:p w:rsidR="00DC132C" w:rsidRDefault="00DA24CB">
      <w:pPr>
        <w:pStyle w:val="Heading2"/>
        <w:keepNext w:val="0"/>
        <w:widowControl w:val="0"/>
        <w:ind w:firstLine="0"/>
        <w:rPr>
          <w:bCs/>
        </w:rPr>
      </w:pPr>
      <w:r>
        <w:rPr>
          <w:bCs/>
        </w:rPr>
        <w:t>QUYẾT ĐỊNH</w:t>
      </w:r>
    </w:p>
    <w:p w:rsidR="00DC132C" w:rsidRDefault="00DA24CB">
      <w:pPr>
        <w:keepNext/>
        <w:spacing w:before="0" w:line="320" w:lineRule="exact"/>
        <w:ind w:firstLine="0"/>
        <w:jc w:val="center"/>
        <w:rPr>
          <w:rFonts w:ascii="Times New Roman Bold" w:hAnsi="Times New Roman Bold"/>
          <w:b/>
          <w:spacing w:val="-3"/>
          <w:sz w:val="28"/>
          <w:szCs w:val="28"/>
        </w:rPr>
      </w:pPr>
      <w:r>
        <w:rPr>
          <w:rFonts w:ascii="Times New Roman Bold" w:hAnsi="Times New Roman Bold"/>
          <w:b/>
          <w:spacing w:val="-3"/>
          <w:sz w:val="28"/>
          <w:szCs w:val="28"/>
        </w:rPr>
        <w:t xml:space="preserve">Phê duyệt đơn giá tài sản, vật kiến trúc và các loại cây trồng trên đất làm căn cứ tính bồi thường khi Nhà nước thu hồi đất dự án: Quản lý nguồn nước và Ngập lụt Vĩnh Phúc </w:t>
      </w:r>
      <w:r>
        <w:rPr>
          <w:rFonts w:ascii="Times New Roman Bold" w:hAnsi="Times New Roman Bold"/>
          <w:b/>
          <w:bCs/>
          <w:spacing w:val="-3"/>
          <w:sz w:val="28"/>
          <w:szCs w:val="28"/>
        </w:rPr>
        <w:t>trên địa bàn huyện Bình Xuyên</w:t>
      </w:r>
    </w:p>
    <w:p w:rsidR="00B911CF" w:rsidRDefault="00DC132C">
      <w:pPr>
        <w:pStyle w:val="Heading2"/>
        <w:keepNext w:val="0"/>
        <w:widowControl w:val="0"/>
        <w:ind w:firstLine="0"/>
        <w:rPr>
          <w:lang w:val="nl-NL"/>
        </w:rPr>
      </w:pPr>
      <w:r w:rsidRPr="00DC132C">
        <w:rPr>
          <w:sz w:val="26"/>
        </w:rPr>
        <w:pict>
          <v:shape id="shape 5" o:spid="_x0000_s1026" style="position:absolute;left:0;text-align:left;margin-left:174.4pt;margin-top:2.9pt;width:108pt;height:0;z-index:524291" coordsize="100000,100000" o:spt="100" adj="0,,0" path="m,l100000,3175000e" filled="f">
            <v:stroke joinstyle="round"/>
            <v:formulas/>
            <v:path o:connecttype="segments" textboxrect="0,0,0,0"/>
          </v:shape>
        </w:pict>
      </w:r>
    </w:p>
    <w:p w:rsidR="00DC132C" w:rsidRDefault="00DA24CB" w:rsidP="00DB012B">
      <w:pPr>
        <w:pStyle w:val="Heading2"/>
        <w:keepNext w:val="0"/>
        <w:widowControl w:val="0"/>
        <w:spacing w:before="60" w:after="60" w:line="360" w:lineRule="exact"/>
        <w:ind w:firstLine="0"/>
        <w:rPr>
          <w:lang w:val="nl-NL"/>
        </w:rPr>
      </w:pPr>
      <w:r>
        <w:rPr>
          <w:lang w:val="nl-NL"/>
        </w:rPr>
        <w:t xml:space="preserve">CHỦ TỊCH ỦY BAN NHÂN DÂN </w:t>
      </w:r>
      <w:r w:rsidR="00B911CF">
        <w:rPr>
          <w:lang w:val="nl-NL"/>
        </w:rPr>
        <w:t>TỈNH VĨNH PHÚC</w:t>
      </w:r>
    </w:p>
    <w:p w:rsidR="00DC132C" w:rsidRDefault="00DA24CB" w:rsidP="00DB012B">
      <w:pPr>
        <w:shd w:val="clear" w:color="auto" w:fill="FFFFFF"/>
        <w:spacing w:before="60" w:after="60" w:line="360" w:lineRule="exact"/>
        <w:jc w:val="both"/>
        <w:rPr>
          <w:color w:val="000000"/>
          <w:sz w:val="28"/>
          <w:szCs w:val="28"/>
        </w:rPr>
      </w:pPr>
      <w:r>
        <w:rPr>
          <w:i/>
          <w:iCs/>
          <w:color w:val="000000"/>
          <w:sz w:val="28"/>
          <w:szCs w:val="28"/>
          <w:lang w:val="vi-VN"/>
        </w:rPr>
        <w:t>Căn cứ Luật Tổ chức chính</w:t>
      </w:r>
      <w:r>
        <w:rPr>
          <w:i/>
          <w:iCs/>
          <w:color w:val="000000"/>
          <w:sz w:val="28"/>
          <w:szCs w:val="28"/>
          <w:lang w:val="vi-VN"/>
        </w:rPr>
        <w:t xml:space="preserve"> quyền địa phương số 77/2015/QH13 ngày 19 tháng 6 năm 2015 và Luật sửa đổi, bổ sung một số điều của Luật Tổ chức Chính phủ và Luật Tổ chức chính quyền địa phương số 47/2019/QH14 ngày 22 tháng 11 năm 2019; </w:t>
      </w:r>
    </w:p>
    <w:p w:rsidR="00DC132C" w:rsidRDefault="00DA24CB" w:rsidP="00DB012B">
      <w:pPr>
        <w:pStyle w:val="NormalWeb"/>
        <w:spacing w:before="60" w:beforeAutospacing="0" w:after="60" w:afterAutospacing="0" w:line="360" w:lineRule="exact"/>
        <w:jc w:val="both"/>
        <w:rPr>
          <w:i/>
          <w:color w:val="000000"/>
          <w:sz w:val="28"/>
          <w:szCs w:val="28"/>
          <w:lang w:val="nl-NL"/>
        </w:rPr>
      </w:pPr>
      <w:r>
        <w:rPr>
          <w:i/>
          <w:sz w:val="28"/>
          <w:szCs w:val="28"/>
          <w:lang w:val="nl-NL"/>
        </w:rPr>
        <w:t>Căn cứ</w:t>
      </w:r>
      <w:r>
        <w:rPr>
          <w:i/>
          <w:color w:val="000000"/>
          <w:sz w:val="28"/>
          <w:szCs w:val="28"/>
          <w:lang w:val="vi-VN"/>
        </w:rPr>
        <w:t xml:space="preserve"> Luật </w:t>
      </w:r>
      <w:r>
        <w:rPr>
          <w:i/>
          <w:color w:val="000000"/>
          <w:sz w:val="28"/>
          <w:szCs w:val="28"/>
          <w:lang w:val="nl-NL"/>
        </w:rPr>
        <w:t>Giá số 11/2012/QH13;</w:t>
      </w:r>
    </w:p>
    <w:p w:rsidR="00DC132C" w:rsidRDefault="00DA24CB" w:rsidP="00DB012B">
      <w:pPr>
        <w:pStyle w:val="NormalWeb"/>
        <w:spacing w:before="60" w:beforeAutospacing="0" w:after="60" w:afterAutospacing="0" w:line="360" w:lineRule="exact"/>
        <w:jc w:val="both"/>
        <w:rPr>
          <w:i/>
          <w:sz w:val="28"/>
          <w:szCs w:val="28"/>
          <w:lang w:val="nl-NL"/>
        </w:rPr>
      </w:pPr>
      <w:r>
        <w:rPr>
          <w:i/>
          <w:color w:val="000000"/>
          <w:sz w:val="28"/>
          <w:szCs w:val="28"/>
          <w:lang w:val="nl-NL"/>
        </w:rPr>
        <w:t xml:space="preserve">Căn cứ </w:t>
      </w:r>
      <w:r>
        <w:rPr>
          <w:i/>
          <w:sz w:val="28"/>
          <w:szCs w:val="28"/>
          <w:lang w:val="nl-NL"/>
        </w:rPr>
        <w:t>Nghị định 89/2013/NĐ-CP ngày 06/8/2013 của Chính phủ quy định chi tiết thi hành một số điều của Luật Giá về thẩm định giá;</w:t>
      </w:r>
    </w:p>
    <w:p w:rsidR="00DC132C" w:rsidRDefault="00DA24CB" w:rsidP="00DB012B">
      <w:pPr>
        <w:spacing w:before="60" w:after="60" w:line="360" w:lineRule="exact"/>
        <w:jc w:val="both"/>
        <w:rPr>
          <w:i/>
          <w:sz w:val="28"/>
          <w:szCs w:val="28"/>
          <w:lang w:val="nl-NL"/>
        </w:rPr>
      </w:pPr>
      <w:r>
        <w:rPr>
          <w:i/>
          <w:sz w:val="28"/>
          <w:szCs w:val="28"/>
          <w:lang w:val="nl-NL"/>
        </w:rPr>
        <w:t xml:space="preserve">Căn cứ Nghị định số 177/2013/NĐ-CP ngày 14/11/2013 và Nghị định số 149/2016/NĐ-CP ngày 11/11/2016 của Chính phủ quy định chi tiết và </w:t>
      </w:r>
      <w:r>
        <w:rPr>
          <w:i/>
          <w:sz w:val="28"/>
          <w:szCs w:val="28"/>
          <w:lang w:val="nl-NL"/>
        </w:rPr>
        <w:t>hướng dẫn một số điều của Luật Giá;</w:t>
      </w:r>
    </w:p>
    <w:p w:rsidR="00DC132C" w:rsidRDefault="00DA24CB" w:rsidP="00DB012B">
      <w:pPr>
        <w:spacing w:before="60" w:after="60" w:line="360" w:lineRule="exact"/>
        <w:ind w:firstLine="0"/>
        <w:jc w:val="both"/>
        <w:rPr>
          <w:i/>
          <w:sz w:val="28"/>
          <w:szCs w:val="28"/>
        </w:rPr>
      </w:pPr>
      <w:r>
        <w:rPr>
          <w:i/>
          <w:sz w:val="28"/>
          <w:szCs w:val="28"/>
        </w:rPr>
        <w:tab/>
        <w:t>Căn cứ Nghị định số 47/2014/NĐ - CP ngày 15/5/2014 của Chính phủ Quy định về bồi thường, hỗ trợ, tái định cư khi nhà nước thu hồi đất.</w:t>
      </w:r>
    </w:p>
    <w:p w:rsidR="009509D3" w:rsidRDefault="009509D3" w:rsidP="009509D3">
      <w:pPr>
        <w:shd w:val="clear" w:color="auto" w:fill="FFFFFF"/>
        <w:spacing w:before="60" w:after="60" w:line="360" w:lineRule="exact"/>
        <w:jc w:val="both"/>
        <w:rPr>
          <w:i/>
          <w:sz w:val="28"/>
          <w:szCs w:val="28"/>
          <w:lang w:val="nl-NL"/>
        </w:rPr>
      </w:pPr>
      <w:r>
        <w:rPr>
          <w:i/>
          <w:sz w:val="28"/>
          <w:szCs w:val="28"/>
          <w:lang w:val="nl-NL"/>
        </w:rPr>
        <w:t>Căn cứ Văn bản số 490/TTg-QHQT ngày 24/3/2016 của Thủ tướng Chính phủ về việc phê duyệt Khung chính sách tái định cư, Khung chính sách dân tộc thiểu số của dự án vay vốn WB</w:t>
      </w:r>
    </w:p>
    <w:p w:rsidR="00DC132C" w:rsidRDefault="00DA24CB" w:rsidP="00DB012B">
      <w:pPr>
        <w:spacing w:before="60" w:after="60" w:line="360" w:lineRule="exact"/>
        <w:jc w:val="both"/>
        <w:rPr>
          <w:i/>
          <w:sz w:val="28"/>
          <w:szCs w:val="28"/>
          <w:lang w:val="nl-NL"/>
        </w:rPr>
      </w:pPr>
      <w:r>
        <w:rPr>
          <w:i/>
          <w:sz w:val="28"/>
          <w:szCs w:val="28"/>
          <w:lang w:val="nl-NL"/>
        </w:rPr>
        <w:t>Căn cứ Thông tư 56/2014/TT-BTC ngày 28/4/2014 và Thông tư số 233/2016/TT-BTC ngày 11</w:t>
      </w:r>
      <w:r>
        <w:rPr>
          <w:i/>
          <w:sz w:val="28"/>
          <w:szCs w:val="28"/>
          <w:lang w:val="nl-NL"/>
        </w:rPr>
        <w:t>/11/2016 của Bộ Tài chính hướng dẫn thực hiện Nghị định số 177/2013/NĐ-CP ngày 14/11/2013 của Chính phủ quy định chi tiết và hướng dẫn một số điều của Luật Giá;</w:t>
      </w:r>
    </w:p>
    <w:p w:rsidR="00DC132C" w:rsidRDefault="00DA24CB" w:rsidP="00DB012B">
      <w:pPr>
        <w:shd w:val="clear" w:color="auto" w:fill="FFFFFF"/>
        <w:spacing w:before="60" w:after="60" w:line="360" w:lineRule="exact"/>
        <w:jc w:val="both"/>
        <w:rPr>
          <w:i/>
          <w:sz w:val="28"/>
          <w:szCs w:val="28"/>
          <w:lang w:val="nl-NL"/>
        </w:rPr>
      </w:pPr>
      <w:r>
        <w:rPr>
          <w:i/>
          <w:sz w:val="28"/>
          <w:szCs w:val="28"/>
          <w:lang w:val="nl-NL"/>
        </w:rPr>
        <w:t>Căn cứ Quyết định số 05/2015/QĐ-UBND ngày 06/02/2015 của UBND tỉnh quy định về công tác quản lý</w:t>
      </w:r>
      <w:r>
        <w:rPr>
          <w:i/>
          <w:sz w:val="28"/>
          <w:szCs w:val="28"/>
          <w:lang w:val="nl-NL"/>
        </w:rPr>
        <w:t xml:space="preserve"> giá trên địa bàn tỉnh Vĩnh Phúc;</w:t>
      </w:r>
    </w:p>
    <w:p w:rsidR="00DC132C" w:rsidRPr="00DB012B" w:rsidRDefault="00DA24CB" w:rsidP="00DB012B">
      <w:pPr>
        <w:widowControl w:val="0"/>
        <w:spacing w:before="60" w:after="60" w:line="360" w:lineRule="exact"/>
        <w:ind w:firstLine="567"/>
        <w:jc w:val="both"/>
        <w:rPr>
          <w:bCs/>
          <w:i/>
          <w:sz w:val="26"/>
          <w:szCs w:val="26"/>
          <w:lang w:val="nl-NL"/>
        </w:rPr>
      </w:pPr>
      <w:r w:rsidRPr="00DB012B">
        <w:rPr>
          <w:bCs/>
          <w:i/>
          <w:sz w:val="28"/>
          <w:szCs w:val="28"/>
          <w:lang w:val="nl-NL"/>
        </w:rPr>
        <w:t xml:space="preserve">Xét đề nghị của Sở Tài chính tại Tờ trình số </w:t>
      </w:r>
      <w:r w:rsidR="00DB012B" w:rsidRPr="00DB012B">
        <w:rPr>
          <w:bCs/>
          <w:i/>
          <w:sz w:val="28"/>
          <w:szCs w:val="28"/>
          <w:lang w:val="nl-NL"/>
        </w:rPr>
        <w:t>602</w:t>
      </w:r>
      <w:r w:rsidRPr="00DB012B">
        <w:rPr>
          <w:bCs/>
          <w:i/>
          <w:sz w:val="28"/>
          <w:szCs w:val="28"/>
          <w:lang w:val="nl-NL"/>
        </w:rPr>
        <w:t>/</w:t>
      </w:r>
      <w:r w:rsidRPr="00DB012B">
        <w:rPr>
          <w:bCs/>
          <w:i/>
          <w:sz w:val="28"/>
          <w:szCs w:val="28"/>
          <w:lang w:val="nl-NL"/>
        </w:rPr>
        <w:t xml:space="preserve">TTr-STC ngày      </w:t>
      </w:r>
      <w:r w:rsidR="00DB012B" w:rsidRPr="00DB012B">
        <w:rPr>
          <w:bCs/>
          <w:i/>
          <w:sz w:val="28"/>
          <w:szCs w:val="28"/>
          <w:lang w:val="nl-NL"/>
        </w:rPr>
        <w:t>10</w:t>
      </w:r>
      <w:r w:rsidRPr="00DB012B">
        <w:rPr>
          <w:bCs/>
          <w:i/>
          <w:sz w:val="28"/>
          <w:szCs w:val="28"/>
          <w:lang w:val="nl-NL"/>
        </w:rPr>
        <w:t>/11/2021</w:t>
      </w:r>
      <w:r w:rsidRPr="00DB012B">
        <w:rPr>
          <w:bCs/>
          <w:i/>
          <w:sz w:val="26"/>
          <w:szCs w:val="26"/>
          <w:lang w:val="nl-NL"/>
        </w:rPr>
        <w:t xml:space="preserve">, </w:t>
      </w:r>
    </w:p>
    <w:p w:rsidR="00DC132C" w:rsidRDefault="00DA24CB" w:rsidP="00DB012B">
      <w:pPr>
        <w:spacing w:before="60" w:after="60" w:line="360" w:lineRule="exact"/>
        <w:ind w:firstLine="0"/>
        <w:jc w:val="center"/>
        <w:rPr>
          <w:b/>
          <w:sz w:val="28"/>
          <w:szCs w:val="28"/>
          <w:lang w:val="nl-NL"/>
        </w:rPr>
      </w:pPr>
      <w:r w:rsidRPr="00DB012B">
        <w:rPr>
          <w:b/>
          <w:sz w:val="28"/>
          <w:szCs w:val="28"/>
          <w:lang w:val="nl-NL"/>
        </w:rPr>
        <w:t>QUYẾT ĐỊNH:</w:t>
      </w:r>
    </w:p>
    <w:p w:rsidR="00DB012B" w:rsidRPr="00DB012B" w:rsidRDefault="00DB012B" w:rsidP="00DB012B">
      <w:pPr>
        <w:spacing w:before="60" w:after="60" w:line="360" w:lineRule="exact"/>
        <w:ind w:firstLine="0"/>
        <w:rPr>
          <w:b/>
          <w:sz w:val="28"/>
          <w:szCs w:val="28"/>
          <w:lang w:val="nl-NL"/>
        </w:rPr>
      </w:pPr>
    </w:p>
    <w:p w:rsidR="00DC132C" w:rsidRDefault="00DA24CB" w:rsidP="00DB012B">
      <w:pPr>
        <w:spacing w:before="60" w:after="60" w:line="360" w:lineRule="exact"/>
        <w:jc w:val="both"/>
        <w:rPr>
          <w:i/>
          <w:sz w:val="28"/>
          <w:szCs w:val="28"/>
          <w:lang w:val="nl-NL"/>
        </w:rPr>
      </w:pPr>
      <w:r>
        <w:rPr>
          <w:b/>
          <w:sz w:val="28"/>
          <w:szCs w:val="28"/>
          <w:lang w:val="nl-NL"/>
        </w:rPr>
        <w:lastRenderedPageBreak/>
        <w:t xml:space="preserve">Điều 1. </w:t>
      </w:r>
      <w:r>
        <w:rPr>
          <w:sz w:val="28"/>
          <w:szCs w:val="28"/>
          <w:lang w:val="nl-NL"/>
        </w:rPr>
        <w:t>Phê duyệt đơn giá tài sản, vật kiến trúc và các loại cây trồng trên đất làm căn cứ tính bồi thường khi Nhà nước thu hồi đất Dự án: Quản lý nguồn nước và Ngập lụt Vĩnh Phúc</w:t>
      </w:r>
      <w:r>
        <w:rPr>
          <w:bCs/>
          <w:sz w:val="28"/>
          <w:szCs w:val="28"/>
          <w:lang w:val="nl-NL"/>
        </w:rPr>
        <w:t xml:space="preserve"> trên địa bàn huyện Bình Xuyên</w:t>
      </w:r>
      <w:r>
        <w:rPr>
          <w:sz w:val="28"/>
          <w:szCs w:val="28"/>
          <w:lang w:val="nl-NL"/>
        </w:rPr>
        <w:t xml:space="preserve"> </w:t>
      </w:r>
      <w:r>
        <w:rPr>
          <w:i/>
          <w:sz w:val="28"/>
          <w:szCs w:val="28"/>
          <w:lang w:val="nl-NL"/>
        </w:rPr>
        <w:t>(Có phụ lục kèm theo)</w:t>
      </w:r>
    </w:p>
    <w:p w:rsidR="00DC132C" w:rsidRDefault="00DA24CB" w:rsidP="00DB012B">
      <w:pPr>
        <w:pStyle w:val="GenStyleDefPar"/>
        <w:spacing w:before="60" w:after="60" w:line="360" w:lineRule="exact"/>
        <w:ind w:firstLine="720"/>
        <w:jc w:val="both"/>
        <w:rPr>
          <w:rFonts w:ascii="Times New Roman" w:eastAsia="Times New Roman" w:hAnsi="Times New Roman"/>
          <w:color w:val="000000"/>
          <w:sz w:val="28"/>
        </w:rPr>
      </w:pPr>
      <w:r>
        <w:rPr>
          <w:rFonts w:ascii="Times New Roman" w:eastAsia="Times New Roman" w:hAnsi="Times New Roman"/>
          <w:color w:val="000000"/>
          <w:sz w:val="28"/>
        </w:rPr>
        <w:t>Đơn giá trên làm căn cứ để UBND huyện Bình Xuyên lập phương án bồi thường đối với những tài sản không thể thực hiện di chuyển được hoặc di chuyển làm ảnh hưởng trực tiếp đến nguồn thu nhập của người dân. Khi đền bù các tài sản này, UB</w:t>
      </w:r>
      <w:r>
        <w:rPr>
          <w:rFonts w:ascii="Times New Roman" w:eastAsia="Times New Roman" w:hAnsi="Times New Roman"/>
          <w:color w:val="000000"/>
          <w:sz w:val="28"/>
        </w:rPr>
        <w:t xml:space="preserve">ND huyện Bình Xuyên phải thực hiện thu hồi và tổ chức thanh lý các tài sản sau bồi thường. </w:t>
      </w:r>
    </w:p>
    <w:p w:rsidR="00DC132C" w:rsidRDefault="00DA24CB" w:rsidP="00DB012B">
      <w:pPr>
        <w:pStyle w:val="GenStyleDefPar"/>
        <w:spacing w:before="60" w:after="60" w:line="360" w:lineRule="exact"/>
        <w:ind w:firstLine="720"/>
        <w:jc w:val="both"/>
        <w:rPr>
          <w:rFonts w:ascii="Times New Roman" w:eastAsia="Times New Roman" w:hAnsi="Times New Roman"/>
          <w:sz w:val="24"/>
          <w:szCs w:val="28"/>
        </w:rPr>
      </w:pPr>
      <w:r>
        <w:rPr>
          <w:rFonts w:ascii="Times New Roman" w:eastAsia="Times New Roman" w:hAnsi="Times New Roman"/>
          <w:color w:val="000000"/>
          <w:sz w:val="28"/>
        </w:rPr>
        <w:t xml:space="preserve">Đối với các tài sản di chuyển được, UBND huyện Bình Xuyên chỉ hỗ trợ công di chuyển theo quy định . </w:t>
      </w:r>
    </w:p>
    <w:p w:rsidR="00DC132C" w:rsidRDefault="00DA24CB" w:rsidP="00DB012B">
      <w:pPr>
        <w:spacing w:before="60" w:after="60" w:line="360" w:lineRule="exact"/>
        <w:jc w:val="both"/>
        <w:rPr>
          <w:sz w:val="28"/>
          <w:szCs w:val="28"/>
          <w:lang w:val="nl-NL"/>
        </w:rPr>
      </w:pPr>
      <w:r>
        <w:rPr>
          <w:b/>
          <w:sz w:val="28"/>
          <w:szCs w:val="28"/>
          <w:lang w:val="nl-NL"/>
        </w:rPr>
        <w:t>Điều 2.</w:t>
      </w:r>
      <w:r>
        <w:rPr>
          <w:sz w:val="28"/>
          <w:szCs w:val="28"/>
          <w:lang w:val="nl-NL"/>
        </w:rPr>
        <w:t xml:space="preserve"> Quyết định này có hiệu lực kể từ ngày ký.</w:t>
      </w:r>
    </w:p>
    <w:p w:rsidR="00DC132C" w:rsidRDefault="00DA24CB" w:rsidP="00DB012B">
      <w:pPr>
        <w:spacing w:before="60" w:after="60" w:line="360" w:lineRule="exact"/>
        <w:jc w:val="both"/>
        <w:rPr>
          <w:sz w:val="28"/>
          <w:szCs w:val="28"/>
          <w:lang w:val="nl-NL"/>
        </w:rPr>
      </w:pPr>
      <w:r>
        <w:rPr>
          <w:sz w:val="28"/>
          <w:szCs w:val="28"/>
          <w:lang w:val="nl-NL"/>
        </w:rPr>
        <w:t>Chánh Văn phòng UBND tỉnh, Giám đốc các Sở: Tài chính, Kế hoạch và Đầu tư, Giám đốc KBNN tỉnh, Giám đốc Ban Quản lý vốn vay nước ngoài, Chủ tịch UBND huyện Bình Xuyên và Thủ trưởng các đơn vị có liên quan căn cứ Quyết định thi hành./.</w:t>
      </w:r>
    </w:p>
    <w:p w:rsidR="00DB012B" w:rsidRDefault="00DB012B">
      <w:pPr>
        <w:spacing w:after="120"/>
        <w:jc w:val="both"/>
        <w:rPr>
          <w:sz w:val="28"/>
          <w:szCs w:val="28"/>
          <w:lang w:val="nl-NL"/>
        </w:rPr>
      </w:pPr>
    </w:p>
    <w:tbl>
      <w:tblPr>
        <w:tblStyle w:val="GenStyleDefTable0"/>
        <w:tblW w:w="8914" w:type="dxa"/>
        <w:tblInd w:w="0" w:type="dxa"/>
        <w:tblCellMar>
          <w:top w:w="0" w:type="dxa"/>
          <w:left w:w="108" w:type="dxa"/>
          <w:bottom w:w="0" w:type="dxa"/>
          <w:right w:w="108" w:type="dxa"/>
        </w:tblCellMar>
        <w:tblLook w:val="01E0"/>
      </w:tblPr>
      <w:tblGrid>
        <w:gridCol w:w="4338"/>
        <w:gridCol w:w="4576"/>
      </w:tblGrid>
      <w:tr w:rsidR="00DC132C" w:rsidTr="00DB012B">
        <w:trPr>
          <w:trHeight w:val="3317"/>
        </w:trPr>
        <w:tc>
          <w:tcPr>
            <w:tcW w:w="4338" w:type="dxa"/>
            <w:tcBorders>
              <w:top w:val="none" w:sz="0" w:space="0" w:color="000000"/>
              <w:left w:val="none" w:sz="0" w:space="0" w:color="000000"/>
              <w:bottom w:val="none" w:sz="0" w:space="0" w:color="000000"/>
              <w:right w:val="none" w:sz="0" w:space="0" w:color="000000"/>
            </w:tcBorders>
            <w:noWrap/>
          </w:tcPr>
          <w:p w:rsidR="00DC132C" w:rsidRDefault="00DC132C">
            <w:pPr>
              <w:pStyle w:val="BodyText2"/>
              <w:spacing w:after="0"/>
              <w:rPr>
                <w:rFonts w:ascii="Times New Roman" w:hAnsi="Times New Roman"/>
                <w:i w:val="0"/>
                <w:sz w:val="24"/>
                <w:szCs w:val="24"/>
              </w:rPr>
            </w:pPr>
          </w:p>
        </w:tc>
        <w:tc>
          <w:tcPr>
            <w:tcW w:w="4576" w:type="dxa"/>
            <w:tcBorders>
              <w:top w:val="none" w:sz="0" w:space="0" w:color="000000"/>
              <w:left w:val="none" w:sz="0" w:space="0" w:color="000000"/>
              <w:bottom w:val="none" w:sz="0" w:space="0" w:color="000000"/>
              <w:right w:val="none" w:sz="0" w:space="0" w:color="000000"/>
            </w:tcBorders>
            <w:noWrap/>
          </w:tcPr>
          <w:p w:rsidR="00DC132C" w:rsidRDefault="00DA24CB">
            <w:pPr>
              <w:pStyle w:val="BodyText2"/>
              <w:spacing w:after="0"/>
              <w:jc w:val="center"/>
              <w:rPr>
                <w:rFonts w:ascii="Times New Roman" w:hAnsi="Times New Roman"/>
                <w:b/>
                <w:i w:val="0"/>
                <w:szCs w:val="28"/>
              </w:rPr>
            </w:pPr>
            <w:r>
              <w:rPr>
                <w:rFonts w:ascii="Times New Roman" w:hAnsi="Times New Roman"/>
                <w:b/>
                <w:i w:val="0"/>
                <w:szCs w:val="28"/>
              </w:rPr>
              <w:t>KT. CHỦ TỊCH</w:t>
            </w:r>
          </w:p>
          <w:p w:rsidR="00DC132C" w:rsidRDefault="00DA24CB">
            <w:pPr>
              <w:pStyle w:val="BodyText2"/>
              <w:spacing w:after="0"/>
              <w:jc w:val="center"/>
              <w:rPr>
                <w:rFonts w:ascii="Times New Roman" w:hAnsi="Times New Roman"/>
                <w:b/>
                <w:i w:val="0"/>
                <w:szCs w:val="28"/>
              </w:rPr>
            </w:pPr>
            <w:r>
              <w:rPr>
                <w:rFonts w:ascii="Times New Roman" w:hAnsi="Times New Roman"/>
                <w:b/>
                <w:i w:val="0"/>
                <w:szCs w:val="28"/>
              </w:rPr>
              <w:t>PHÓ CHỦ TỊCH</w:t>
            </w:r>
          </w:p>
          <w:p w:rsidR="00DC132C" w:rsidRDefault="00DC132C">
            <w:pPr>
              <w:pStyle w:val="BodyText2"/>
              <w:spacing w:after="0"/>
              <w:jc w:val="center"/>
              <w:rPr>
                <w:rFonts w:ascii="Times New Roman" w:hAnsi="Times New Roman"/>
                <w:b/>
                <w:i w:val="0"/>
                <w:szCs w:val="28"/>
              </w:rPr>
            </w:pPr>
          </w:p>
          <w:p w:rsidR="00DB012B" w:rsidRDefault="00DB012B">
            <w:pPr>
              <w:pStyle w:val="BodyText2"/>
              <w:spacing w:after="0"/>
              <w:jc w:val="center"/>
              <w:rPr>
                <w:rFonts w:ascii="Times New Roman" w:hAnsi="Times New Roman"/>
                <w:b/>
                <w:i w:val="0"/>
                <w:szCs w:val="28"/>
              </w:rPr>
            </w:pPr>
            <w:r>
              <w:rPr>
                <w:rFonts w:ascii="Times New Roman" w:hAnsi="Times New Roman"/>
                <w:b/>
                <w:i w:val="0"/>
                <w:szCs w:val="28"/>
              </w:rPr>
              <w:t>Nguyễn Văn Khước</w:t>
            </w:r>
          </w:p>
        </w:tc>
      </w:tr>
    </w:tbl>
    <w:p w:rsidR="00DC132C" w:rsidRDefault="00DC132C">
      <w:pPr>
        <w:rPr>
          <w:sz w:val="28"/>
          <w:lang w:val="nl-NL"/>
        </w:rPr>
      </w:pPr>
    </w:p>
    <w:p w:rsidR="00DC132C" w:rsidRDefault="00DC132C">
      <w:pPr>
        <w:rPr>
          <w:sz w:val="28"/>
          <w:lang w:val="nl-NL"/>
        </w:rPr>
      </w:pPr>
    </w:p>
    <w:p w:rsidR="00DC132C" w:rsidRDefault="00DC132C"/>
    <w:sectPr w:rsidR="00DC132C" w:rsidSect="00B911CF">
      <w:footerReference w:type="even" r:id="rId6"/>
      <w:footerReference w:type="default" r:id="rId7"/>
      <w:pgSz w:w="11907" w:h="16840"/>
      <w:pgMar w:top="126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4CB" w:rsidRDefault="00DA24CB" w:rsidP="00DC132C">
      <w:pPr>
        <w:spacing w:before="0"/>
      </w:pPr>
      <w:r>
        <w:separator/>
      </w:r>
    </w:p>
  </w:endnote>
  <w:endnote w:type="continuationSeparator" w:id="1">
    <w:p w:rsidR="00DA24CB" w:rsidRDefault="00DA24CB" w:rsidP="00DC132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32C" w:rsidRDefault="00DC132C">
    <w:pPr>
      <w:pStyle w:val="Footer"/>
      <w:framePr w:wrap="around" w:vAnchor="text" w:hAnchor="margin" w:xAlign="right" w:y="1"/>
      <w:rPr>
        <w:rStyle w:val="PageNumber"/>
      </w:rPr>
    </w:pPr>
  </w:p>
  <w:p w:rsidR="00DC132C" w:rsidRDefault="00DC132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32C" w:rsidRDefault="00DC132C">
    <w:pPr>
      <w:pStyle w:val="Footer"/>
      <w:ind w:right="360" w:firstLine="0"/>
      <w:rPr>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4CB" w:rsidRDefault="00DA24CB">
      <w:pPr>
        <w:pStyle w:val="GenStyleDefPar0"/>
      </w:pPr>
      <w:r>
        <w:separator/>
      </w:r>
    </w:p>
  </w:footnote>
  <w:footnote w:type="continuationSeparator" w:id="1">
    <w:p w:rsidR="00DA24CB" w:rsidRDefault="00DA24CB">
      <w:pPr>
        <w:pStyle w:val="GenStyleDefPa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C132C"/>
    <w:rsid w:val="007B3003"/>
    <w:rsid w:val="009509D3"/>
    <w:rsid w:val="00B911CF"/>
    <w:rsid w:val="00DA24CB"/>
    <w:rsid w:val="00DB012B"/>
    <w:rsid w:val="00DC13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2"/>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132C"/>
    <w:pPr>
      <w:spacing w:before="120"/>
      <w:ind w:firstLine="720"/>
    </w:pPr>
    <w:rPr>
      <w:rFonts w:ascii="Times New Roman" w:eastAsia="Times New Roman" w:hAnsi="Times New Roman"/>
      <w:sz w:val="24"/>
      <w:szCs w:val="24"/>
      <w:lang w:bidi="ar-SA"/>
    </w:rPr>
  </w:style>
  <w:style w:type="paragraph" w:styleId="Heading1">
    <w:name w:val="heading 1"/>
    <w:basedOn w:val="Normal"/>
    <w:next w:val="Normal"/>
    <w:rsid w:val="00DC132C"/>
    <w:pPr>
      <w:keepNext/>
      <w:jc w:val="center"/>
      <w:outlineLvl w:val="0"/>
    </w:pPr>
    <w:rPr>
      <w:rFonts w:ascii=".VnTimeH" w:hAnsi=".VnTimeH"/>
      <w:b/>
      <w:bCs/>
      <w:szCs w:val="28"/>
    </w:rPr>
  </w:style>
  <w:style w:type="paragraph" w:styleId="Heading2">
    <w:name w:val="heading 2"/>
    <w:basedOn w:val="Normal"/>
    <w:next w:val="Normal"/>
    <w:rsid w:val="00DC132C"/>
    <w:pPr>
      <w:keepNext/>
      <w:jc w:val="center"/>
      <w:outlineLvl w:val="1"/>
    </w:pPr>
    <w:rPr>
      <w:b/>
      <w:sz w:val="28"/>
      <w:szCs w:val="28"/>
    </w:rPr>
  </w:style>
  <w:style w:type="paragraph" w:styleId="Heading3">
    <w:name w:val="heading 3"/>
    <w:basedOn w:val="Normal"/>
    <w:next w:val="Normal"/>
    <w:rsid w:val="00DC132C"/>
    <w:pPr>
      <w:keepNext/>
      <w:spacing w:before="40" w:after="40" w:line="288" w:lineRule="auto"/>
      <w:jc w:val="both"/>
      <w:outlineLvl w:val="2"/>
    </w:pPr>
    <w:rPr>
      <w:b/>
      <w:bCs/>
      <w:sz w:val="28"/>
      <w:szCs w:val="28"/>
    </w:rPr>
  </w:style>
  <w:style w:type="paragraph" w:styleId="Heading4">
    <w:name w:val="heading 4"/>
    <w:basedOn w:val="Normal"/>
    <w:next w:val="Normal"/>
    <w:rsid w:val="00DC132C"/>
    <w:pPr>
      <w:keepNext/>
      <w:keepLines/>
      <w:spacing w:before="200"/>
      <w:outlineLvl w:val="3"/>
    </w:pPr>
    <w:rPr>
      <w:rFonts w:ascii="Arial" w:eastAsia="Arial" w:hAnsi="Arial"/>
      <w:color w:val="232323"/>
      <w:sz w:val="32"/>
      <w:szCs w:val="32"/>
    </w:rPr>
  </w:style>
  <w:style w:type="paragraph" w:styleId="Heading5">
    <w:name w:val="heading 5"/>
    <w:basedOn w:val="Normal"/>
    <w:next w:val="Normal"/>
    <w:rsid w:val="00DC132C"/>
    <w:pPr>
      <w:keepNext/>
      <w:keepLines/>
      <w:spacing w:before="200"/>
      <w:outlineLvl w:val="4"/>
    </w:pPr>
    <w:rPr>
      <w:rFonts w:ascii="Arial" w:eastAsia="Arial" w:hAnsi="Arial"/>
      <w:b/>
      <w:bCs/>
      <w:color w:val="444444"/>
      <w:sz w:val="28"/>
      <w:szCs w:val="28"/>
    </w:rPr>
  </w:style>
  <w:style w:type="paragraph" w:styleId="Heading6">
    <w:name w:val="heading 6"/>
    <w:basedOn w:val="Normal"/>
    <w:next w:val="Normal"/>
    <w:rsid w:val="00DC132C"/>
    <w:pPr>
      <w:keepNext/>
      <w:keepLines/>
      <w:spacing w:before="200"/>
      <w:outlineLvl w:val="5"/>
    </w:pPr>
    <w:rPr>
      <w:rFonts w:ascii="Arial" w:eastAsia="Arial" w:hAnsi="Arial"/>
      <w:i/>
      <w:iCs/>
      <w:color w:val="232323"/>
      <w:sz w:val="28"/>
      <w:szCs w:val="28"/>
    </w:rPr>
  </w:style>
  <w:style w:type="paragraph" w:styleId="Heading7">
    <w:name w:val="heading 7"/>
    <w:basedOn w:val="Normal"/>
    <w:next w:val="Normal"/>
    <w:rsid w:val="00DC132C"/>
    <w:pPr>
      <w:keepNext/>
      <w:keepLines/>
      <w:spacing w:before="200"/>
      <w:outlineLvl w:val="6"/>
    </w:pPr>
    <w:rPr>
      <w:rFonts w:ascii="Arial" w:eastAsia="Arial" w:hAnsi="Arial"/>
      <w:b/>
      <w:bCs/>
      <w:color w:val="606060"/>
    </w:rPr>
  </w:style>
  <w:style w:type="paragraph" w:styleId="Heading8">
    <w:name w:val="heading 8"/>
    <w:basedOn w:val="Normal"/>
    <w:next w:val="Normal"/>
    <w:rsid w:val="00DC132C"/>
    <w:pPr>
      <w:keepNext/>
      <w:keepLines/>
      <w:spacing w:before="200"/>
      <w:outlineLvl w:val="7"/>
    </w:pPr>
    <w:rPr>
      <w:rFonts w:ascii="Arial" w:eastAsia="Arial" w:hAnsi="Arial"/>
      <w:color w:val="444444"/>
    </w:rPr>
  </w:style>
  <w:style w:type="paragraph" w:styleId="Heading9">
    <w:name w:val="heading 9"/>
    <w:basedOn w:val="Normal"/>
    <w:next w:val="Normal"/>
    <w:rsid w:val="00DC132C"/>
    <w:pPr>
      <w:keepNext/>
      <w:keepLines/>
      <w:spacing w:before="200"/>
      <w:outlineLvl w:val="8"/>
    </w:pPr>
    <w:rPr>
      <w:rFonts w:ascii="Arial" w:eastAsia="Arial" w:hAnsi="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DC132C"/>
    <w:pPr>
      <w:ind w:left="720"/>
      <w:contextualSpacing/>
    </w:pPr>
  </w:style>
  <w:style w:type="paragraph" w:styleId="NoSpacing">
    <w:name w:val="No Spacing"/>
    <w:basedOn w:val="Normal"/>
    <w:rsid w:val="00DC132C"/>
    <w:rPr>
      <w:color w:val="000000"/>
    </w:rPr>
  </w:style>
  <w:style w:type="paragraph" w:styleId="Title">
    <w:name w:val="Title"/>
    <w:basedOn w:val="Normal"/>
    <w:next w:val="Normal"/>
    <w:rsid w:val="00DC132C"/>
    <w:pPr>
      <w:pBdr>
        <w:bottom w:val="single" w:sz="24" w:space="0" w:color="000000"/>
      </w:pBdr>
      <w:spacing w:before="300" w:after="80"/>
    </w:pPr>
    <w:rPr>
      <w:b/>
      <w:color w:val="000000"/>
      <w:sz w:val="72"/>
    </w:rPr>
  </w:style>
  <w:style w:type="paragraph" w:styleId="Subtitle">
    <w:name w:val="Subtitle"/>
    <w:basedOn w:val="Normal"/>
    <w:next w:val="Normal"/>
    <w:rsid w:val="00DC132C"/>
    <w:rPr>
      <w:i/>
      <w:color w:val="444444"/>
      <w:sz w:val="52"/>
    </w:rPr>
  </w:style>
  <w:style w:type="paragraph" w:styleId="Quote">
    <w:name w:val="Quote"/>
    <w:basedOn w:val="Normal"/>
    <w:next w:val="Normal"/>
    <w:rsid w:val="00DC132C"/>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rsid w:val="00DC132C"/>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rsid w:val="00DC132C"/>
    <w:pPr>
      <w:tabs>
        <w:tab w:val="center" w:pos="7143"/>
        <w:tab w:val="right" w:pos="14287"/>
      </w:tabs>
    </w:pPr>
    <w:rPr>
      <w:color w:val="000000"/>
      <w:sz w:val="22"/>
    </w:rPr>
  </w:style>
  <w:style w:type="table" w:styleId="TableGrid">
    <w:name w:val="Table Grid"/>
    <w:basedOn w:val="TableNormal"/>
    <w:rsid w:val="00DC132C"/>
    <w:tblPr>
      <w:tblInd w:w="0" w:type="dxa"/>
      <w:tblCellMar>
        <w:top w:w="0" w:type="dxa"/>
        <w:left w:w="108" w:type="dxa"/>
        <w:bottom w:w="0" w:type="dxa"/>
        <w:right w:w="108" w:type="dxa"/>
      </w:tblCellMar>
    </w:tblPr>
  </w:style>
  <w:style w:type="table" w:customStyle="1" w:styleId="Lined">
    <w:name w:val="Lined"/>
    <w:basedOn w:val="TableNormal"/>
    <w:rsid w:val="00DC132C"/>
    <w:rPr>
      <w:color w:val="404040"/>
    </w:rPr>
    <w:tblPr>
      <w:tblInd w:w="0" w:type="dxa"/>
      <w:tblCellMar>
        <w:top w:w="0" w:type="dxa"/>
        <w:left w:w="108" w:type="dxa"/>
        <w:bottom w:w="0" w:type="dxa"/>
        <w:right w:w="108" w:type="dxa"/>
      </w:tblCellMar>
    </w:tblPr>
  </w:style>
  <w:style w:type="table" w:customStyle="1" w:styleId="Lined-Accent1">
    <w:name w:val="Lined - Accent 1"/>
    <w:basedOn w:val="TableNormal"/>
    <w:rsid w:val="00DC132C"/>
    <w:rPr>
      <w:color w:val="404040"/>
    </w:rPr>
    <w:tblPr>
      <w:tblInd w:w="0" w:type="dxa"/>
      <w:tblCellMar>
        <w:top w:w="0" w:type="dxa"/>
        <w:left w:w="108" w:type="dxa"/>
        <w:bottom w:w="0" w:type="dxa"/>
        <w:right w:w="108" w:type="dxa"/>
      </w:tblCellMar>
    </w:tblPr>
  </w:style>
  <w:style w:type="table" w:customStyle="1" w:styleId="Lined-Accent2">
    <w:name w:val="Lined - Accent 2"/>
    <w:basedOn w:val="TableNormal"/>
    <w:rsid w:val="00DC132C"/>
    <w:rPr>
      <w:color w:val="404040"/>
    </w:rPr>
    <w:tblPr>
      <w:tblInd w:w="0" w:type="dxa"/>
      <w:tblCellMar>
        <w:top w:w="0" w:type="dxa"/>
        <w:left w:w="108" w:type="dxa"/>
        <w:bottom w:w="0" w:type="dxa"/>
        <w:right w:w="108" w:type="dxa"/>
      </w:tblCellMar>
    </w:tblPr>
  </w:style>
  <w:style w:type="table" w:customStyle="1" w:styleId="Lined-Accent3">
    <w:name w:val="Lined - Accent 3"/>
    <w:basedOn w:val="TableNormal"/>
    <w:rsid w:val="00DC132C"/>
    <w:rPr>
      <w:color w:val="404040"/>
    </w:rPr>
    <w:tblPr>
      <w:tblInd w:w="0" w:type="dxa"/>
      <w:tblCellMar>
        <w:top w:w="0" w:type="dxa"/>
        <w:left w:w="108" w:type="dxa"/>
        <w:bottom w:w="0" w:type="dxa"/>
        <w:right w:w="108" w:type="dxa"/>
      </w:tblCellMar>
    </w:tblPr>
  </w:style>
  <w:style w:type="table" w:customStyle="1" w:styleId="Lined-Accent4">
    <w:name w:val="Lined - Accent 4"/>
    <w:basedOn w:val="TableNormal"/>
    <w:rsid w:val="00DC132C"/>
    <w:rPr>
      <w:color w:val="404040"/>
    </w:rPr>
    <w:tblPr>
      <w:tblInd w:w="0" w:type="dxa"/>
      <w:tblCellMar>
        <w:top w:w="0" w:type="dxa"/>
        <w:left w:w="108" w:type="dxa"/>
        <w:bottom w:w="0" w:type="dxa"/>
        <w:right w:w="108" w:type="dxa"/>
      </w:tblCellMar>
    </w:tblPr>
  </w:style>
  <w:style w:type="table" w:customStyle="1" w:styleId="Lined-Accent5">
    <w:name w:val="Lined - Accent 5"/>
    <w:basedOn w:val="TableNormal"/>
    <w:rsid w:val="00DC132C"/>
    <w:rPr>
      <w:color w:val="404040"/>
    </w:rPr>
    <w:tblPr>
      <w:tblInd w:w="0" w:type="dxa"/>
      <w:tblCellMar>
        <w:top w:w="0" w:type="dxa"/>
        <w:left w:w="108" w:type="dxa"/>
        <w:bottom w:w="0" w:type="dxa"/>
        <w:right w:w="108" w:type="dxa"/>
      </w:tblCellMar>
    </w:tblPr>
  </w:style>
  <w:style w:type="table" w:customStyle="1" w:styleId="Lined-Accent6">
    <w:name w:val="Lined - Accent 6"/>
    <w:basedOn w:val="TableNormal"/>
    <w:rsid w:val="00DC132C"/>
    <w:rPr>
      <w:color w:val="404040"/>
    </w:rPr>
    <w:tblPr>
      <w:tblInd w:w="0" w:type="dxa"/>
      <w:tblCellMar>
        <w:top w:w="0" w:type="dxa"/>
        <w:left w:w="108" w:type="dxa"/>
        <w:bottom w:w="0" w:type="dxa"/>
        <w:right w:w="108" w:type="dxa"/>
      </w:tblCellMar>
    </w:tblPr>
  </w:style>
  <w:style w:type="table" w:customStyle="1" w:styleId="Bordered">
    <w:name w:val="Bordered"/>
    <w:basedOn w:val="TableNormal"/>
    <w:rsid w:val="00DC132C"/>
    <w:tblPr>
      <w:tblInd w:w="0" w:type="dxa"/>
      <w:tblCellMar>
        <w:top w:w="0" w:type="dxa"/>
        <w:left w:w="108" w:type="dxa"/>
        <w:bottom w:w="0" w:type="dxa"/>
        <w:right w:w="108" w:type="dxa"/>
      </w:tblCellMar>
    </w:tblPr>
  </w:style>
  <w:style w:type="table" w:customStyle="1" w:styleId="Bordered-Accent1">
    <w:name w:val="Bordered - Accent 1"/>
    <w:basedOn w:val="TableNormal"/>
    <w:rsid w:val="00DC132C"/>
    <w:tblPr>
      <w:tblInd w:w="0" w:type="dxa"/>
      <w:tblCellMar>
        <w:top w:w="0" w:type="dxa"/>
        <w:left w:w="108" w:type="dxa"/>
        <w:bottom w:w="0" w:type="dxa"/>
        <w:right w:w="108" w:type="dxa"/>
      </w:tblCellMar>
    </w:tblPr>
  </w:style>
  <w:style w:type="table" w:customStyle="1" w:styleId="Bordered-Accent2">
    <w:name w:val="Bordered - Accent 2"/>
    <w:basedOn w:val="TableNormal"/>
    <w:rsid w:val="00DC132C"/>
    <w:tblPr>
      <w:tblInd w:w="0" w:type="dxa"/>
      <w:tblCellMar>
        <w:top w:w="0" w:type="dxa"/>
        <w:left w:w="108" w:type="dxa"/>
        <w:bottom w:w="0" w:type="dxa"/>
        <w:right w:w="108" w:type="dxa"/>
      </w:tblCellMar>
    </w:tblPr>
  </w:style>
  <w:style w:type="table" w:customStyle="1" w:styleId="Bordered-Accent3">
    <w:name w:val="Bordered - Accent 3"/>
    <w:basedOn w:val="TableNormal"/>
    <w:rsid w:val="00DC132C"/>
    <w:tblPr>
      <w:tblInd w:w="0" w:type="dxa"/>
      <w:tblCellMar>
        <w:top w:w="0" w:type="dxa"/>
        <w:left w:w="108" w:type="dxa"/>
        <w:bottom w:w="0" w:type="dxa"/>
        <w:right w:w="108" w:type="dxa"/>
      </w:tblCellMar>
    </w:tblPr>
  </w:style>
  <w:style w:type="table" w:customStyle="1" w:styleId="Bordered-Accent4">
    <w:name w:val="Bordered - Accent 4"/>
    <w:basedOn w:val="TableNormal"/>
    <w:rsid w:val="00DC132C"/>
    <w:tblPr>
      <w:tblInd w:w="0" w:type="dxa"/>
      <w:tblCellMar>
        <w:top w:w="0" w:type="dxa"/>
        <w:left w:w="108" w:type="dxa"/>
        <w:bottom w:w="0" w:type="dxa"/>
        <w:right w:w="108" w:type="dxa"/>
      </w:tblCellMar>
    </w:tblPr>
  </w:style>
  <w:style w:type="table" w:customStyle="1" w:styleId="Bordered-Accent5">
    <w:name w:val="Bordered - Accent 5"/>
    <w:basedOn w:val="TableNormal"/>
    <w:rsid w:val="00DC132C"/>
    <w:tblPr>
      <w:tblInd w:w="0" w:type="dxa"/>
      <w:tblCellMar>
        <w:top w:w="0" w:type="dxa"/>
        <w:left w:w="108" w:type="dxa"/>
        <w:bottom w:w="0" w:type="dxa"/>
        <w:right w:w="108" w:type="dxa"/>
      </w:tblCellMar>
    </w:tblPr>
  </w:style>
  <w:style w:type="table" w:customStyle="1" w:styleId="Bordered-Accent6">
    <w:name w:val="Bordered - Accent 6"/>
    <w:basedOn w:val="TableNormal"/>
    <w:rsid w:val="00DC132C"/>
    <w:tblPr>
      <w:tblInd w:w="0" w:type="dxa"/>
      <w:tblCellMar>
        <w:top w:w="0" w:type="dxa"/>
        <w:left w:w="108" w:type="dxa"/>
        <w:bottom w:w="0" w:type="dxa"/>
        <w:right w:w="108" w:type="dxa"/>
      </w:tblCellMar>
    </w:tblPr>
  </w:style>
  <w:style w:type="table" w:customStyle="1" w:styleId="BorderedLined">
    <w:name w:val="Bordered &amp; Lined"/>
    <w:basedOn w:val="TableNormal"/>
    <w:rsid w:val="00DC132C"/>
    <w:rPr>
      <w:color w:val="404040"/>
    </w:rPr>
    <w:tblPr>
      <w:tblInd w:w="0" w:type="dxa"/>
      <w:tblCellMar>
        <w:top w:w="0" w:type="dxa"/>
        <w:left w:w="108" w:type="dxa"/>
        <w:bottom w:w="0" w:type="dxa"/>
        <w:right w:w="108" w:type="dxa"/>
      </w:tblCellMar>
    </w:tblPr>
  </w:style>
  <w:style w:type="table" w:customStyle="1" w:styleId="BorderedLined-Accent1">
    <w:name w:val="Bordered &amp; Lined - Accent 1"/>
    <w:basedOn w:val="TableNormal"/>
    <w:rsid w:val="00DC132C"/>
    <w:rPr>
      <w:color w:val="404040"/>
    </w:rPr>
    <w:tblPr>
      <w:tblInd w:w="0" w:type="dxa"/>
      <w:tblCellMar>
        <w:top w:w="0" w:type="dxa"/>
        <w:left w:w="108" w:type="dxa"/>
        <w:bottom w:w="0" w:type="dxa"/>
        <w:right w:w="108" w:type="dxa"/>
      </w:tblCellMar>
    </w:tblPr>
  </w:style>
  <w:style w:type="table" w:customStyle="1" w:styleId="BorderedLined-Accent2">
    <w:name w:val="Bordered &amp; Lined - Accent 2"/>
    <w:basedOn w:val="TableNormal"/>
    <w:rsid w:val="00DC132C"/>
    <w:rPr>
      <w:color w:val="404040"/>
    </w:rPr>
    <w:tblPr>
      <w:tblInd w:w="0" w:type="dxa"/>
      <w:tblCellMar>
        <w:top w:w="0" w:type="dxa"/>
        <w:left w:w="108" w:type="dxa"/>
        <w:bottom w:w="0" w:type="dxa"/>
        <w:right w:w="108" w:type="dxa"/>
      </w:tblCellMar>
    </w:tblPr>
  </w:style>
  <w:style w:type="table" w:customStyle="1" w:styleId="BorderedLined-Accent3">
    <w:name w:val="Bordered &amp; Lined - Accent 3"/>
    <w:basedOn w:val="TableNormal"/>
    <w:rsid w:val="00DC132C"/>
    <w:rPr>
      <w:color w:val="404040"/>
    </w:rPr>
    <w:tblPr>
      <w:tblInd w:w="0" w:type="dxa"/>
      <w:tblCellMar>
        <w:top w:w="0" w:type="dxa"/>
        <w:left w:w="108" w:type="dxa"/>
        <w:bottom w:w="0" w:type="dxa"/>
        <w:right w:w="108" w:type="dxa"/>
      </w:tblCellMar>
    </w:tblPr>
  </w:style>
  <w:style w:type="table" w:customStyle="1" w:styleId="BorderedLined-Accent4">
    <w:name w:val="Bordered &amp; Lined - Accent 4"/>
    <w:basedOn w:val="TableNormal"/>
    <w:rsid w:val="00DC132C"/>
    <w:rPr>
      <w:color w:val="404040"/>
    </w:rPr>
    <w:tblPr>
      <w:tblInd w:w="0" w:type="dxa"/>
      <w:tblCellMar>
        <w:top w:w="0" w:type="dxa"/>
        <w:left w:w="108" w:type="dxa"/>
        <w:bottom w:w="0" w:type="dxa"/>
        <w:right w:w="108" w:type="dxa"/>
      </w:tblCellMar>
    </w:tblPr>
  </w:style>
  <w:style w:type="table" w:customStyle="1" w:styleId="BorderedLined-Accent5">
    <w:name w:val="Bordered &amp; Lined - Accent 5"/>
    <w:basedOn w:val="TableNormal"/>
    <w:rsid w:val="00DC132C"/>
    <w:rPr>
      <w:color w:val="404040"/>
    </w:rPr>
    <w:tblPr>
      <w:tblInd w:w="0" w:type="dxa"/>
      <w:tblCellMar>
        <w:top w:w="0" w:type="dxa"/>
        <w:left w:w="108" w:type="dxa"/>
        <w:bottom w:w="0" w:type="dxa"/>
        <w:right w:w="108" w:type="dxa"/>
      </w:tblCellMar>
    </w:tblPr>
  </w:style>
  <w:style w:type="table" w:customStyle="1" w:styleId="BorderedLined-Accent6">
    <w:name w:val="Bordered &amp; Lined - Accent 6"/>
    <w:basedOn w:val="TableNormal"/>
    <w:rsid w:val="00DC132C"/>
    <w:rPr>
      <w:color w:val="404040"/>
    </w:rPr>
    <w:tblPr>
      <w:tblInd w:w="0" w:type="dxa"/>
      <w:tblCellMar>
        <w:top w:w="0" w:type="dxa"/>
        <w:left w:w="108" w:type="dxa"/>
        <w:bottom w:w="0" w:type="dxa"/>
        <w:right w:w="108" w:type="dxa"/>
      </w:tblCellMar>
    </w:tblPr>
  </w:style>
  <w:style w:type="character" w:styleId="Hyperlink">
    <w:name w:val="Hyperlink"/>
    <w:rsid w:val="00DC132C"/>
    <w:rPr>
      <w:color w:val="0000FF"/>
      <w:u w:val="single"/>
    </w:rPr>
  </w:style>
  <w:style w:type="paragraph" w:styleId="FootnoteText">
    <w:name w:val="footnote text"/>
    <w:basedOn w:val="Normal"/>
    <w:semiHidden/>
    <w:rsid w:val="00DC132C"/>
    <w:rPr>
      <w:sz w:val="20"/>
    </w:rPr>
  </w:style>
  <w:style w:type="character" w:customStyle="1" w:styleId="FootnoteTextChar">
    <w:name w:val="Footnote Text Char"/>
    <w:basedOn w:val="DefaultParagraphFont"/>
    <w:semiHidden/>
    <w:rsid w:val="00DC132C"/>
    <w:rPr>
      <w:sz w:val="20"/>
    </w:rPr>
  </w:style>
  <w:style w:type="character" w:styleId="FootnoteReference">
    <w:name w:val="footnote reference"/>
    <w:basedOn w:val="DefaultParagraphFont"/>
    <w:semiHidden/>
    <w:rsid w:val="00DC132C"/>
    <w:rPr>
      <w:vertAlign w:val="superscript"/>
    </w:rPr>
  </w:style>
  <w:style w:type="character" w:customStyle="1" w:styleId="Heading1Char">
    <w:name w:val="Heading 1 Char"/>
    <w:basedOn w:val="DefaultParagraphFont"/>
    <w:rsid w:val="00DC132C"/>
    <w:rPr>
      <w:rFonts w:ascii=".VnTimeH" w:eastAsia="Times New Roman" w:hAnsi=".VnTimeH"/>
      <w:b/>
      <w:bCs/>
      <w:sz w:val="24"/>
      <w:szCs w:val="28"/>
    </w:rPr>
  </w:style>
  <w:style w:type="character" w:customStyle="1" w:styleId="Heading2Char">
    <w:name w:val="Heading 2 Char"/>
    <w:basedOn w:val="DefaultParagraphFont"/>
    <w:rsid w:val="00DC132C"/>
    <w:rPr>
      <w:rFonts w:ascii="Times New Roman" w:eastAsia="Times New Roman" w:hAnsi="Times New Roman"/>
      <w:b/>
      <w:sz w:val="28"/>
      <w:szCs w:val="28"/>
    </w:rPr>
  </w:style>
  <w:style w:type="character" w:customStyle="1" w:styleId="Heading3Char">
    <w:name w:val="Heading 3 Char"/>
    <w:basedOn w:val="DefaultParagraphFont"/>
    <w:rsid w:val="00DC132C"/>
    <w:rPr>
      <w:rFonts w:ascii="Times New Roman" w:eastAsia="Times New Roman" w:hAnsi="Times New Roman"/>
      <w:b/>
      <w:bCs/>
      <w:sz w:val="28"/>
      <w:szCs w:val="28"/>
    </w:rPr>
  </w:style>
  <w:style w:type="paragraph" w:styleId="Footer">
    <w:name w:val="footer"/>
    <w:basedOn w:val="Normal"/>
    <w:rsid w:val="00DC132C"/>
    <w:pPr>
      <w:tabs>
        <w:tab w:val="center" w:pos="4320"/>
        <w:tab w:val="right" w:pos="8640"/>
      </w:tabs>
    </w:pPr>
  </w:style>
  <w:style w:type="character" w:customStyle="1" w:styleId="FooterChar">
    <w:name w:val="Footer Char"/>
    <w:basedOn w:val="DefaultParagraphFont"/>
    <w:rsid w:val="00DC132C"/>
    <w:rPr>
      <w:rFonts w:ascii="Times New Roman" w:eastAsia="Times New Roman" w:hAnsi="Times New Roman"/>
      <w:sz w:val="24"/>
      <w:szCs w:val="24"/>
    </w:rPr>
  </w:style>
  <w:style w:type="paragraph" w:styleId="NormalWeb">
    <w:name w:val="Normal (Web)"/>
    <w:basedOn w:val="Normal"/>
    <w:rsid w:val="00DC132C"/>
    <w:pPr>
      <w:spacing w:before="100" w:beforeAutospacing="1" w:after="100" w:afterAutospacing="1"/>
    </w:pPr>
  </w:style>
  <w:style w:type="character" w:styleId="PageNumber">
    <w:name w:val="page number"/>
    <w:basedOn w:val="DefaultParagraphFont"/>
    <w:rsid w:val="00DC132C"/>
  </w:style>
  <w:style w:type="paragraph" w:styleId="BodyText2">
    <w:name w:val="Body Text 2"/>
    <w:basedOn w:val="Normal"/>
    <w:rsid w:val="00DC132C"/>
    <w:pPr>
      <w:spacing w:before="0" w:after="120"/>
      <w:ind w:firstLine="0"/>
      <w:jc w:val="both"/>
    </w:pPr>
    <w:rPr>
      <w:rFonts w:ascii=".VnTime" w:hAnsi=".VnTime"/>
      <w:i/>
      <w:sz w:val="28"/>
      <w:szCs w:val="20"/>
    </w:rPr>
  </w:style>
  <w:style w:type="character" w:customStyle="1" w:styleId="BodyText2Char">
    <w:name w:val="Body Text 2 Char"/>
    <w:basedOn w:val="DefaultParagraphFont"/>
    <w:rsid w:val="00DC132C"/>
    <w:rPr>
      <w:rFonts w:ascii=".VnTime" w:eastAsia="Times New Roman" w:hAnsi=".VnTime"/>
      <w:i/>
      <w:sz w:val="28"/>
      <w:szCs w:val="20"/>
    </w:rPr>
  </w:style>
  <w:style w:type="character" w:customStyle="1" w:styleId="GenStyleDefChar">
    <w:name w:val="GenStyleDefChar"/>
    <w:rsid w:val="00DC132C"/>
  </w:style>
  <w:style w:type="numbering" w:customStyle="1" w:styleId="GenStyleDefNum">
    <w:name w:val="GenStyleDefNum"/>
    <w:rsid w:val="00DC132C"/>
  </w:style>
  <w:style w:type="paragraph" w:customStyle="1" w:styleId="GenStyleDefPar">
    <w:name w:val="GenStyleDefPar"/>
    <w:rsid w:val="00DC132C"/>
  </w:style>
  <w:style w:type="table" w:customStyle="1" w:styleId="GenStyleDefTable">
    <w:name w:val="GenStyleDefTable"/>
    <w:rsid w:val="00DC132C"/>
    <w:tblPr>
      <w:tblCellMar>
        <w:top w:w="0" w:type="dxa"/>
        <w:left w:w="0" w:type="dxa"/>
        <w:bottom w:w="0" w:type="dxa"/>
        <w:right w:w="0" w:type="dxa"/>
      </w:tblCellMar>
    </w:tblPr>
  </w:style>
  <w:style w:type="character" w:customStyle="1" w:styleId="GenStyleDefChar0">
    <w:name w:val="GenStyleDefChar"/>
    <w:rsid w:val="00DC132C"/>
  </w:style>
  <w:style w:type="numbering" w:customStyle="1" w:styleId="GenStyleDefNum0">
    <w:name w:val="GenStyleDefNum"/>
    <w:rsid w:val="00DC132C"/>
  </w:style>
  <w:style w:type="paragraph" w:customStyle="1" w:styleId="GenStyleDefPar0">
    <w:name w:val="GenStyleDefPar"/>
    <w:rsid w:val="00DC132C"/>
  </w:style>
  <w:style w:type="table" w:customStyle="1" w:styleId="GenStyleDefTable0">
    <w:name w:val="GenStyleDefTable"/>
    <w:rsid w:val="00DC132C"/>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2</cp:revision>
  <dcterms:created xsi:type="dcterms:W3CDTF">2021-11-23T02:55:00Z</dcterms:created>
  <dcterms:modified xsi:type="dcterms:W3CDTF">2021-11-23T02:55:00Z</dcterms:modified>
</cp:coreProperties>
</file>