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6367"/>
      </w:tblGrid>
      <w:tr w:rsidR="00675FFB" w:rsidRPr="00F15716" w:rsidTr="00080A0B">
        <w:trPr>
          <w:trHeight w:val="1258"/>
          <w:jc w:val="center"/>
        </w:trPr>
        <w:tc>
          <w:tcPr>
            <w:tcW w:w="3390" w:type="dxa"/>
            <w:tcBorders>
              <w:top w:val="nil"/>
              <w:left w:val="nil"/>
              <w:bottom w:val="nil"/>
              <w:right w:val="nil"/>
            </w:tcBorders>
          </w:tcPr>
          <w:p w:rsidR="00675FFB" w:rsidRPr="00746BDC" w:rsidRDefault="00675FFB" w:rsidP="0031793C">
            <w:pPr>
              <w:pStyle w:val="Heading1"/>
              <w:rPr>
                <w:szCs w:val="26"/>
              </w:rPr>
            </w:pPr>
            <w:r w:rsidRPr="00746BDC">
              <w:rPr>
                <w:szCs w:val="26"/>
              </w:rPr>
              <w:t>UỶ BAN NHÂN DÂN</w:t>
            </w:r>
          </w:p>
          <w:p w:rsidR="00675FFB" w:rsidRPr="00746BDC" w:rsidRDefault="00675FFB" w:rsidP="0031793C">
            <w:pPr>
              <w:spacing w:after="0" w:line="240" w:lineRule="auto"/>
              <w:jc w:val="center"/>
              <w:rPr>
                <w:rFonts w:ascii="Times New Roman" w:hAnsi="Times New Roman"/>
                <w:b/>
                <w:bCs/>
                <w:sz w:val="26"/>
                <w:szCs w:val="26"/>
              </w:rPr>
            </w:pPr>
            <w:r w:rsidRPr="00746BDC">
              <w:rPr>
                <w:rFonts w:ascii="Times New Roman" w:hAnsi="Times New Roman"/>
                <w:b/>
                <w:bCs/>
                <w:sz w:val="26"/>
                <w:szCs w:val="26"/>
              </w:rPr>
              <w:t>TỈNH VĨNH PHÚC</w:t>
            </w:r>
          </w:p>
          <w:p w:rsidR="00675FFB" w:rsidRPr="00746BDC" w:rsidRDefault="00D4704F" w:rsidP="0031793C">
            <w:pPr>
              <w:spacing w:after="0" w:line="240" w:lineRule="auto"/>
              <w:jc w:val="center"/>
              <w:rPr>
                <w:rFonts w:ascii="Times New Roman" w:hAnsi="Times New Roman"/>
                <w:sz w:val="26"/>
                <w:szCs w:val="26"/>
              </w:rPr>
            </w:pPr>
            <w:r w:rsidRPr="00746BDC">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498475</wp:posOffset>
                      </wp:positionH>
                      <wp:positionV relativeFrom="paragraph">
                        <wp:posOffset>20320</wp:posOffset>
                      </wp:positionV>
                      <wp:extent cx="969010" cy="0"/>
                      <wp:effectExtent l="1206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F50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6pt" to="11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V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"/>
                  </w:pict>
                </mc:Fallback>
              </mc:AlternateContent>
            </w:r>
          </w:p>
          <w:p w:rsidR="00675FFB" w:rsidRPr="00746BDC" w:rsidRDefault="00675FFB" w:rsidP="00746BDC">
            <w:pPr>
              <w:spacing w:after="0" w:line="240" w:lineRule="auto"/>
              <w:jc w:val="center"/>
              <w:rPr>
                <w:rFonts w:ascii="Times New Roman" w:hAnsi="Times New Roman"/>
                <w:sz w:val="26"/>
                <w:szCs w:val="26"/>
              </w:rPr>
            </w:pPr>
            <w:r w:rsidRPr="00746BDC">
              <w:rPr>
                <w:rFonts w:ascii="Times New Roman" w:hAnsi="Times New Roman"/>
                <w:sz w:val="26"/>
                <w:szCs w:val="26"/>
              </w:rPr>
              <w:t xml:space="preserve">Số: </w:t>
            </w:r>
            <w:r w:rsidR="00746BDC" w:rsidRPr="00746BDC">
              <w:rPr>
                <w:rFonts w:ascii="Times New Roman" w:hAnsi="Times New Roman"/>
                <w:sz w:val="26"/>
                <w:szCs w:val="26"/>
              </w:rPr>
              <w:t>1103</w:t>
            </w:r>
            <w:r w:rsidRPr="00746BDC">
              <w:rPr>
                <w:rFonts w:ascii="Times New Roman" w:hAnsi="Times New Roman"/>
                <w:sz w:val="26"/>
                <w:szCs w:val="26"/>
              </w:rPr>
              <w:t>/QĐ-UBND</w:t>
            </w:r>
          </w:p>
        </w:tc>
        <w:tc>
          <w:tcPr>
            <w:tcW w:w="6367" w:type="dxa"/>
            <w:tcBorders>
              <w:top w:val="nil"/>
              <w:left w:val="nil"/>
              <w:bottom w:val="nil"/>
              <w:right w:val="nil"/>
            </w:tcBorders>
          </w:tcPr>
          <w:p w:rsidR="00675FFB" w:rsidRPr="00746BDC" w:rsidRDefault="00675FFB" w:rsidP="0031793C">
            <w:pPr>
              <w:spacing w:after="0" w:line="240" w:lineRule="auto"/>
              <w:jc w:val="center"/>
              <w:rPr>
                <w:rFonts w:ascii="Times New Roman" w:hAnsi="Times New Roman"/>
                <w:b/>
                <w:bCs/>
                <w:sz w:val="26"/>
                <w:szCs w:val="26"/>
              </w:rPr>
            </w:pPr>
            <w:r w:rsidRPr="00746BDC">
              <w:rPr>
                <w:rFonts w:ascii="Times New Roman" w:hAnsi="Times New Roman"/>
                <w:b/>
                <w:bCs/>
                <w:sz w:val="26"/>
                <w:szCs w:val="26"/>
              </w:rPr>
              <w:t>CỘNG HÒA XÃ HỘI CHỦ NGHĨA VIỆT NAM</w:t>
            </w:r>
          </w:p>
          <w:p w:rsidR="00675FFB" w:rsidRPr="00746BDC" w:rsidRDefault="00675FFB" w:rsidP="0031793C">
            <w:pPr>
              <w:spacing w:after="0" w:line="240" w:lineRule="auto"/>
              <w:jc w:val="center"/>
              <w:rPr>
                <w:rFonts w:ascii="Times New Roman" w:hAnsi="Times New Roman"/>
                <w:sz w:val="28"/>
                <w:szCs w:val="28"/>
              </w:rPr>
            </w:pPr>
            <w:r w:rsidRPr="00746BDC">
              <w:rPr>
                <w:rFonts w:ascii="Times New Roman" w:hAnsi="Times New Roman"/>
                <w:b/>
                <w:bCs/>
                <w:sz w:val="28"/>
                <w:szCs w:val="28"/>
              </w:rPr>
              <w:t>Độc lập - Tự do - Hạnh phúc</w:t>
            </w:r>
          </w:p>
          <w:p w:rsidR="00675FFB" w:rsidRPr="00746BDC" w:rsidRDefault="00D4704F" w:rsidP="0031793C">
            <w:pPr>
              <w:spacing w:after="0" w:line="240" w:lineRule="auto"/>
              <w:rPr>
                <w:rFonts w:ascii="Times New Roman" w:hAnsi="Times New Roman"/>
                <w:sz w:val="26"/>
                <w:szCs w:val="26"/>
              </w:rPr>
            </w:pPr>
            <w:r w:rsidRPr="00746BDC">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1315720</wp:posOffset>
                      </wp:positionH>
                      <wp:positionV relativeFrom="paragraph">
                        <wp:posOffset>34290</wp:posOffset>
                      </wp:positionV>
                      <wp:extent cx="1305560" cy="0"/>
                      <wp:effectExtent l="10160" t="9525" r="825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078B"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2.7pt" to="20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1o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"/>
                  </w:pict>
                </mc:Fallback>
              </mc:AlternateContent>
            </w:r>
          </w:p>
          <w:p w:rsidR="00675FFB" w:rsidRPr="00746BDC" w:rsidRDefault="00746BDC" w:rsidP="00746BDC">
            <w:pPr>
              <w:spacing w:after="0" w:line="240" w:lineRule="auto"/>
              <w:jc w:val="center"/>
              <w:rPr>
                <w:rFonts w:ascii="Times New Roman" w:hAnsi="Times New Roman"/>
                <w:i/>
                <w:sz w:val="26"/>
                <w:szCs w:val="26"/>
              </w:rPr>
            </w:pPr>
            <w:r>
              <w:rPr>
                <w:rFonts w:ascii="Times New Roman" w:hAnsi="Times New Roman"/>
                <w:i/>
                <w:sz w:val="26"/>
                <w:szCs w:val="26"/>
              </w:rPr>
              <w:t xml:space="preserve">               </w:t>
            </w:r>
            <w:r w:rsidR="00675FFB" w:rsidRPr="00746BDC">
              <w:rPr>
                <w:rFonts w:ascii="Times New Roman" w:hAnsi="Times New Roman"/>
                <w:i/>
                <w:sz w:val="26"/>
                <w:szCs w:val="26"/>
              </w:rPr>
              <w:t xml:space="preserve">Vĩnh Phúc, ngày </w:t>
            </w:r>
            <w:r w:rsidRPr="00746BDC">
              <w:rPr>
                <w:rFonts w:ascii="Times New Roman" w:hAnsi="Times New Roman"/>
                <w:i/>
                <w:sz w:val="26"/>
                <w:szCs w:val="26"/>
              </w:rPr>
              <w:t xml:space="preserve">22 </w:t>
            </w:r>
            <w:r w:rsidR="00675FFB" w:rsidRPr="00746BDC">
              <w:rPr>
                <w:rFonts w:ascii="Times New Roman" w:hAnsi="Times New Roman"/>
                <w:i/>
                <w:sz w:val="26"/>
                <w:szCs w:val="26"/>
              </w:rPr>
              <w:t xml:space="preserve">tháng </w:t>
            </w:r>
            <w:r w:rsidRPr="00746BDC">
              <w:rPr>
                <w:rFonts w:ascii="Times New Roman" w:hAnsi="Times New Roman"/>
                <w:i/>
                <w:sz w:val="26"/>
                <w:szCs w:val="26"/>
              </w:rPr>
              <w:t>5</w:t>
            </w:r>
            <w:r w:rsidR="00675FFB" w:rsidRPr="00746BDC">
              <w:rPr>
                <w:rFonts w:ascii="Times New Roman" w:hAnsi="Times New Roman"/>
                <w:i/>
                <w:sz w:val="26"/>
                <w:szCs w:val="26"/>
              </w:rPr>
              <w:t xml:space="preserve"> năm 202</w:t>
            </w:r>
            <w:r w:rsidR="00053D5A" w:rsidRPr="00746BDC">
              <w:rPr>
                <w:rFonts w:ascii="Times New Roman" w:hAnsi="Times New Roman"/>
                <w:i/>
                <w:sz w:val="26"/>
                <w:szCs w:val="26"/>
              </w:rPr>
              <w:t>3</w:t>
            </w:r>
          </w:p>
        </w:tc>
      </w:tr>
    </w:tbl>
    <w:p w:rsidR="00746BDC" w:rsidRDefault="00746BDC" w:rsidP="00675FFB">
      <w:pPr>
        <w:spacing w:after="0" w:line="240" w:lineRule="auto"/>
        <w:jc w:val="center"/>
        <w:rPr>
          <w:rFonts w:ascii="Times New Roman" w:hAnsi="Times New Roman"/>
          <w:b/>
          <w:color w:val="000000"/>
          <w:sz w:val="28"/>
          <w:szCs w:val="28"/>
        </w:rPr>
      </w:pPr>
    </w:p>
    <w:p w:rsidR="00675FFB" w:rsidRPr="00F15716" w:rsidRDefault="00675FFB" w:rsidP="00675FFB">
      <w:pPr>
        <w:spacing w:after="0" w:line="240" w:lineRule="auto"/>
        <w:jc w:val="center"/>
        <w:rPr>
          <w:rFonts w:ascii="Times New Roman" w:hAnsi="Times New Roman"/>
          <w:b/>
          <w:color w:val="000000"/>
          <w:sz w:val="28"/>
          <w:szCs w:val="28"/>
        </w:rPr>
      </w:pPr>
      <w:r w:rsidRPr="00F15716">
        <w:rPr>
          <w:rFonts w:ascii="Times New Roman" w:hAnsi="Times New Roman"/>
          <w:b/>
          <w:color w:val="000000"/>
          <w:sz w:val="28"/>
          <w:szCs w:val="28"/>
        </w:rPr>
        <w:t>QUYẾT ĐỊNH</w:t>
      </w:r>
    </w:p>
    <w:p w:rsidR="00675FFB" w:rsidRPr="00AE22F1" w:rsidRDefault="00675FFB" w:rsidP="00675FFB">
      <w:pPr>
        <w:spacing w:after="0" w:line="360" w:lineRule="exact"/>
        <w:jc w:val="center"/>
        <w:rPr>
          <w:rFonts w:ascii="Times New Roman Bold" w:eastAsia="Times New Roman" w:hAnsi="Times New Roman Bold" w:cs="Times New Roman"/>
          <w:b/>
          <w:spacing w:val="-6"/>
          <w:sz w:val="28"/>
          <w:szCs w:val="28"/>
        </w:rPr>
      </w:pPr>
      <w:r w:rsidRPr="00F15716">
        <w:rPr>
          <w:rFonts w:ascii="Times New Roman Bold" w:hAnsi="Times New Roman Bold"/>
          <w:b/>
          <w:color w:val="000000"/>
          <w:spacing w:val="-2"/>
          <w:sz w:val="28"/>
          <w:szCs w:val="28"/>
        </w:rPr>
        <w:t xml:space="preserve">V/v </w:t>
      </w:r>
      <w:r>
        <w:rPr>
          <w:rFonts w:ascii="Times New Roman Bold" w:eastAsia="Times New Roman" w:hAnsi="Times New Roman Bold" w:cs="Times New Roman"/>
          <w:b/>
          <w:spacing w:val="-6"/>
          <w:sz w:val="28"/>
          <w:szCs w:val="28"/>
        </w:rPr>
        <w:t>P</w:t>
      </w:r>
      <w:r w:rsidRPr="00AE22F1">
        <w:rPr>
          <w:rFonts w:ascii="Times New Roman Bold" w:eastAsia="Times New Roman" w:hAnsi="Times New Roman Bold" w:cs="Times New Roman"/>
          <w:b/>
          <w:spacing w:val="-6"/>
          <w:sz w:val="28"/>
          <w:szCs w:val="28"/>
        </w:rPr>
        <w:t xml:space="preserve">hê duyệt hệ số điều chỉnh giá đất cụ thể làm căn cứ tính bồi thường khi Nhà nước thu hồi đất thực hiện </w:t>
      </w:r>
      <w:r w:rsidRPr="00373450">
        <w:rPr>
          <w:rFonts w:ascii="Times New Roman" w:hAnsi="Times New Roman"/>
          <w:b/>
          <w:spacing w:val="-4"/>
          <w:sz w:val="28"/>
          <w:szCs w:val="28"/>
        </w:rPr>
        <w:t xml:space="preserve">dự án </w:t>
      </w:r>
      <w:r w:rsidRPr="0047227A">
        <w:rPr>
          <w:rFonts w:ascii="Times New Roman" w:hAnsi="Times New Roman" w:cs="Times New Roman"/>
          <w:b/>
          <w:iCs/>
          <w:sz w:val="28"/>
          <w:szCs w:val="28"/>
        </w:rPr>
        <w:t>Khu đô thị Việt Đức Legend City (Giai đoạn II) tại TT Đạo Đức, huyện Bình Xuyên, tỉnh Vĩnh Phúc</w:t>
      </w:r>
    </w:p>
    <w:p w:rsidR="00675FFB" w:rsidRPr="00481A9C" w:rsidRDefault="00D4704F" w:rsidP="00675FFB">
      <w:pPr>
        <w:spacing w:after="0" w:line="240" w:lineRule="auto"/>
        <w:jc w:val="center"/>
        <w:rPr>
          <w:rFonts w:ascii="Times New Roman" w:hAnsi="Times New Roman"/>
          <w:b/>
          <w:color w:val="000000"/>
          <w:sz w:val="8"/>
        </w:rPr>
      </w:pPr>
      <w:r>
        <w:rPr>
          <w:rFonts w:ascii="Times New Roman" w:hAnsi="Times New Roman"/>
          <w:b/>
          <w:noProof/>
          <w:color w:val="000000"/>
          <w:sz w:val="4"/>
          <w:szCs w:val="24"/>
        </w:rPr>
        <mc:AlternateContent>
          <mc:Choice Requires="wps">
            <w:drawing>
              <wp:anchor distT="0" distB="0" distL="114300" distR="114300" simplePos="0" relativeHeight="251658752" behindDoc="0" locked="0" layoutInCell="1" allowOverlap="1">
                <wp:simplePos x="0" y="0"/>
                <wp:positionH relativeFrom="column">
                  <wp:posOffset>1821815</wp:posOffset>
                </wp:positionH>
                <wp:positionV relativeFrom="paragraph">
                  <wp:posOffset>47625</wp:posOffset>
                </wp:positionV>
                <wp:extent cx="2117725" cy="0"/>
                <wp:effectExtent l="12065" t="7620" r="1333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4B3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3.75pt" to="31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8f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"/>
            </w:pict>
          </mc:Fallback>
        </mc:AlternateContent>
      </w:r>
    </w:p>
    <w:p w:rsidR="00675FFB" w:rsidRPr="00E62DE6" w:rsidRDefault="00675FFB" w:rsidP="00675FFB">
      <w:pPr>
        <w:pStyle w:val="Heading1"/>
        <w:spacing w:before="360" w:after="360"/>
        <w:rPr>
          <w:sz w:val="28"/>
          <w:szCs w:val="28"/>
          <w:lang w:val="nl-NL"/>
        </w:rPr>
      </w:pPr>
      <w:r w:rsidRPr="00E62DE6">
        <w:rPr>
          <w:spacing w:val="-2"/>
          <w:sz w:val="28"/>
          <w:szCs w:val="28"/>
          <w:lang w:val="nl-NL"/>
        </w:rPr>
        <w:t>UỶ BAN NHÂN DÂN TỈNH VĨNH PHÚC</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Căn cứ Luật Tổ chức Chính quyền địa phương ngày 19/6/2015;</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Căn cứ Luật Đất đai số 45/2013/QH13 ngày 29/11/2013; Nghị định số 43/2014/NĐ-CP ngày 15/05/2014 và Nghị định số 01/2017/NĐ-CP ngày 06/01/2017 của Chính phủ quy định chi tiết; sửa đổi, bổ sung một số điều của nghị định thi hành Luật Đất đai;</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Căn cứ Nghị định số 44/2014/NĐ-CP ngày 15/5/2014 của Chính phủ quy định về định giá đất;</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 xml:space="preserve">Căn cứ Thông tư số 36/2014/TT-BTNMT ngày 30/6/2014 của Bộ Tài nguyên và Môi trường quy định chi tiết phương pháp định giá đất; xây dựng, điều chỉnh bảng giá đất; định giá đất cụ thể và tư vấn xác định giá đất; </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Căn cứ Quyết định số 1351/QĐ-BTNMT ngày 04/06/2015 của Bộ Tài nguyên và Môi trường về việc đính chính Thông tư số 36/2014/TT-BTNMT ngày 30/6/2014 của Bộ trưởng Bộ Tài nguyên và Môi trường quy định chi tiết phương pháp định giá đất; xây dựng, điều chỉnh bảng giá đất; định giá đất cụ thể và tư vấn xác định giá đất;</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Căn cứ Biên bản làm việc ngày 12/5/2023 và Thông báo số 78/TB-HĐTĐG ngày 16/5/2023 của Hội đồng thẩm định giá đất tỉnh Vĩnh Phúc về kết quả thẩm định phương án hệ số điều chỉnh giá đất, giá đất cụ thể tính giá bồi thường GPMB của các dự án;</w:t>
      </w:r>
    </w:p>
    <w:p w:rsidR="00675FFB" w:rsidRPr="00F15716" w:rsidRDefault="00675FFB" w:rsidP="00675FFB">
      <w:pPr>
        <w:pStyle w:val="BodyText"/>
        <w:spacing w:before="0" w:after="100" w:line="240" w:lineRule="auto"/>
        <w:ind w:firstLine="720"/>
        <w:rPr>
          <w:rFonts w:ascii="Times New Roman" w:hAnsi="Times New Roman" w:cs="Times New Roman"/>
          <w:i/>
          <w:sz w:val="28"/>
          <w:szCs w:val="28"/>
          <w:lang w:val="nl-NL"/>
        </w:rPr>
      </w:pPr>
      <w:r w:rsidRPr="00F15716">
        <w:rPr>
          <w:rFonts w:ascii="Times New Roman" w:hAnsi="Times New Roman" w:cs="Times New Roman"/>
          <w:i/>
          <w:sz w:val="28"/>
          <w:szCs w:val="28"/>
          <w:lang w:val="nl-NL"/>
        </w:rPr>
        <w:t xml:space="preserve">Theo đề nghị của Sở Tài nguyên và Môi trường tại Tờ trình số </w:t>
      </w:r>
      <w:r>
        <w:rPr>
          <w:rFonts w:ascii="Times New Roman" w:hAnsi="Times New Roman" w:cs="Times New Roman"/>
          <w:i/>
          <w:sz w:val="28"/>
          <w:szCs w:val="28"/>
          <w:lang w:val="nl-NL"/>
        </w:rPr>
        <w:t>220</w:t>
      </w:r>
      <w:r w:rsidRPr="00F15716">
        <w:rPr>
          <w:rFonts w:ascii="Times New Roman" w:hAnsi="Times New Roman" w:cs="Times New Roman"/>
          <w:i/>
          <w:sz w:val="28"/>
          <w:szCs w:val="28"/>
          <w:lang w:val="nl-NL"/>
        </w:rPr>
        <w:t xml:space="preserve">/TTr-STNMT ngày </w:t>
      </w:r>
      <w:r>
        <w:rPr>
          <w:rFonts w:ascii="Times New Roman" w:hAnsi="Times New Roman" w:cs="Times New Roman"/>
          <w:i/>
          <w:sz w:val="28"/>
          <w:szCs w:val="28"/>
          <w:lang w:val="nl-NL"/>
        </w:rPr>
        <w:t>17</w:t>
      </w:r>
      <w:r w:rsidRPr="00F15716">
        <w:rPr>
          <w:rFonts w:ascii="Times New Roman" w:hAnsi="Times New Roman" w:cs="Times New Roman"/>
          <w:i/>
          <w:sz w:val="28"/>
          <w:szCs w:val="28"/>
          <w:lang w:val="nl-NL"/>
        </w:rPr>
        <w:t>/0</w:t>
      </w:r>
      <w:r>
        <w:rPr>
          <w:rFonts w:ascii="Times New Roman" w:hAnsi="Times New Roman" w:cs="Times New Roman"/>
          <w:i/>
          <w:sz w:val="28"/>
          <w:szCs w:val="28"/>
          <w:lang w:val="nl-NL"/>
        </w:rPr>
        <w:t>5</w:t>
      </w:r>
      <w:r w:rsidRPr="00F15716">
        <w:rPr>
          <w:rFonts w:ascii="Times New Roman" w:hAnsi="Times New Roman" w:cs="Times New Roman"/>
          <w:i/>
          <w:sz w:val="28"/>
          <w:szCs w:val="28"/>
          <w:lang w:val="nl-NL"/>
        </w:rPr>
        <w:t xml:space="preserve">/2023. </w:t>
      </w:r>
    </w:p>
    <w:p w:rsidR="00675FFB" w:rsidRPr="00F15716" w:rsidRDefault="00675FFB" w:rsidP="00675FFB">
      <w:pPr>
        <w:spacing w:before="120" w:after="360" w:line="240" w:lineRule="auto"/>
        <w:jc w:val="center"/>
        <w:rPr>
          <w:rFonts w:ascii="Times New Roman" w:hAnsi="Times New Roman" w:cs="Times New Roman"/>
          <w:b/>
          <w:sz w:val="28"/>
          <w:szCs w:val="28"/>
        </w:rPr>
      </w:pPr>
      <w:r w:rsidRPr="00F15716">
        <w:rPr>
          <w:rFonts w:ascii="Times New Roman" w:hAnsi="Times New Roman" w:cs="Times New Roman"/>
          <w:b/>
          <w:sz w:val="28"/>
          <w:szCs w:val="28"/>
        </w:rPr>
        <w:t>QUYẾT ĐỊNH:</w:t>
      </w:r>
    </w:p>
    <w:p w:rsidR="00737628" w:rsidRDefault="00737628" w:rsidP="00675FFB">
      <w:pPr>
        <w:autoSpaceDE w:val="0"/>
        <w:autoSpaceDN w:val="0"/>
        <w:adjustRightInd w:val="0"/>
        <w:spacing w:after="120" w:line="240" w:lineRule="auto"/>
        <w:ind w:firstLine="720"/>
        <w:jc w:val="both"/>
        <w:rPr>
          <w:rFonts w:ascii="Times New Roman" w:eastAsia="Times New Roman" w:hAnsi="Times New Roman" w:cs="Times New Roman"/>
          <w:spacing w:val="-8"/>
          <w:sz w:val="28"/>
          <w:szCs w:val="28"/>
          <w:lang w:val="nl-NL"/>
        </w:rPr>
      </w:pPr>
      <w:r w:rsidRPr="00AE22F1">
        <w:rPr>
          <w:rFonts w:ascii="Times New Roman" w:eastAsia="Times New Roman" w:hAnsi="Times New Roman" w:cs="Times New Roman"/>
          <w:b/>
          <w:sz w:val="28"/>
          <w:szCs w:val="28"/>
        </w:rPr>
        <w:t xml:space="preserve">Điều 1. </w:t>
      </w:r>
      <w:r w:rsidRPr="00AE22F1">
        <w:rPr>
          <w:rFonts w:ascii="Times New Roman" w:eastAsia="Times New Roman" w:hAnsi="Times New Roman" w:cs="Times New Roman"/>
          <w:sz w:val="28"/>
          <w:szCs w:val="28"/>
        </w:rPr>
        <w:t xml:space="preserve">Phê duyệt </w:t>
      </w:r>
      <w:r w:rsidRPr="00AE22F1">
        <w:rPr>
          <w:rFonts w:ascii="Times New Roman" w:eastAsia="Times New Roman" w:hAnsi="Times New Roman" w:cs="Times New Roman"/>
          <w:spacing w:val="2"/>
          <w:sz w:val="28"/>
          <w:szCs w:val="28"/>
        </w:rPr>
        <w:t xml:space="preserve">hệ số điều chỉnh giá </w:t>
      </w:r>
      <w:r w:rsidRPr="00AE22F1">
        <w:rPr>
          <w:rFonts w:ascii="Times New Roman" w:eastAsia="Times New Roman" w:hAnsi="Times New Roman" w:cs="Times New Roman" w:hint="eastAsia"/>
          <w:spacing w:val="2"/>
          <w:sz w:val="28"/>
          <w:szCs w:val="28"/>
        </w:rPr>
        <w:t>đ</w:t>
      </w:r>
      <w:r w:rsidRPr="00AE22F1">
        <w:rPr>
          <w:rFonts w:ascii="Times New Roman" w:eastAsia="Times New Roman" w:hAnsi="Times New Roman" w:cs="Times New Roman"/>
          <w:spacing w:val="2"/>
          <w:sz w:val="28"/>
          <w:szCs w:val="28"/>
        </w:rPr>
        <w:t xml:space="preserve">ất cụ thể, </w:t>
      </w:r>
      <w:r w:rsidRPr="00AE22F1">
        <w:rPr>
          <w:rFonts w:ascii="Times New Roman" w:eastAsia="Times New Roman" w:hAnsi="Times New Roman" w:cs="Times New Roman"/>
          <w:spacing w:val="6"/>
          <w:sz w:val="28"/>
          <w:szCs w:val="28"/>
        </w:rPr>
        <w:t xml:space="preserve">làm căn cứ tính bồi thường khi Nhà nước thu hồi đất thực hiện </w:t>
      </w:r>
      <w:r w:rsidRPr="00AE22F1">
        <w:rPr>
          <w:rFonts w:ascii="Times New Roman" w:eastAsia="Times New Roman" w:hAnsi="Times New Roman" w:cs="Times New Roman"/>
          <w:spacing w:val="2"/>
          <w:sz w:val="28"/>
          <w:szCs w:val="28"/>
        </w:rPr>
        <w:t xml:space="preserve">hệ số điều chỉnh giá </w:t>
      </w:r>
      <w:r w:rsidRPr="00AE22F1">
        <w:rPr>
          <w:rFonts w:ascii="Times New Roman" w:eastAsia="Times New Roman" w:hAnsi="Times New Roman" w:cs="Times New Roman" w:hint="eastAsia"/>
          <w:spacing w:val="2"/>
          <w:sz w:val="28"/>
          <w:szCs w:val="28"/>
        </w:rPr>
        <w:t>đ</w:t>
      </w:r>
      <w:r w:rsidRPr="00AE22F1">
        <w:rPr>
          <w:rFonts w:ascii="Times New Roman" w:eastAsia="Times New Roman" w:hAnsi="Times New Roman" w:cs="Times New Roman"/>
          <w:spacing w:val="2"/>
          <w:sz w:val="28"/>
          <w:szCs w:val="28"/>
        </w:rPr>
        <w:t xml:space="preserve">ất cụ thể, </w:t>
      </w:r>
      <w:r w:rsidRPr="00AE22F1">
        <w:rPr>
          <w:rFonts w:ascii="Times New Roman" w:eastAsia="Times New Roman" w:hAnsi="Times New Roman" w:cs="Times New Roman"/>
          <w:spacing w:val="6"/>
          <w:sz w:val="28"/>
          <w:szCs w:val="28"/>
        </w:rPr>
        <w:t xml:space="preserve">làm căn cứ tính bồi thường khi Nhà nước thu hồi đất thực hiện </w:t>
      </w:r>
      <w:r>
        <w:rPr>
          <w:rFonts w:ascii="Times New Roman" w:eastAsia="Times New Roman" w:hAnsi="Times New Roman" w:cs="Times New Roman"/>
          <w:sz w:val="28"/>
          <w:szCs w:val="28"/>
          <w:lang w:val="nl-NL"/>
        </w:rPr>
        <w:t xml:space="preserve">Dự án </w:t>
      </w:r>
      <w:r w:rsidR="00255948" w:rsidRPr="00255948">
        <w:rPr>
          <w:rFonts w:ascii="Times New Roman" w:hAnsi="Times New Roman" w:cs="Times New Roman"/>
          <w:iCs/>
          <w:sz w:val="28"/>
          <w:szCs w:val="28"/>
        </w:rPr>
        <w:t>Khu đô thị Việt Đức Legend City (Giai đoạn II) tại TT Đạo Đức, huyện Bình Xuyên, tỉnh Vĩnh Phúc</w:t>
      </w:r>
      <w:r w:rsidRPr="00AE22F1">
        <w:rPr>
          <w:rFonts w:ascii="Times New Roman" w:eastAsia="Times New Roman" w:hAnsi="Times New Roman" w:cs="Times New Roman"/>
          <w:color w:val="000000"/>
          <w:spacing w:val="-6"/>
          <w:sz w:val="28"/>
          <w:szCs w:val="28"/>
        </w:rPr>
        <w:t xml:space="preserve">, cụ thể </w:t>
      </w:r>
      <w:r w:rsidRPr="00AE22F1">
        <w:rPr>
          <w:rFonts w:ascii="Times New Roman" w:eastAsia="Times New Roman" w:hAnsi="Times New Roman" w:cs="Times New Roman"/>
          <w:spacing w:val="-8"/>
          <w:sz w:val="28"/>
          <w:szCs w:val="28"/>
        </w:rPr>
        <w:t>như sau</w:t>
      </w:r>
      <w:r w:rsidRPr="00AE22F1">
        <w:rPr>
          <w:rFonts w:ascii="Times New Roman" w:eastAsia="Times New Roman" w:hAnsi="Times New Roman" w:cs="Times New Roman"/>
          <w:spacing w:val="-8"/>
          <w:sz w:val="28"/>
          <w:szCs w:val="28"/>
          <w:lang w:val="nl-NL"/>
        </w:rPr>
        <w:t>:</w:t>
      </w:r>
    </w:p>
    <w:p w:rsidR="00255948" w:rsidRPr="00702DDD" w:rsidRDefault="00255948" w:rsidP="00675FFB">
      <w:pPr>
        <w:autoSpaceDE w:val="0"/>
        <w:autoSpaceDN w:val="0"/>
        <w:adjustRightInd w:val="0"/>
        <w:spacing w:after="120" w:line="240" w:lineRule="auto"/>
        <w:ind w:firstLine="720"/>
        <w:jc w:val="both"/>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lastRenderedPageBreak/>
        <w:t>1. Đất nông nghiệp</w:t>
      </w:r>
    </w:p>
    <w:tbl>
      <w:tblPr>
        <w:tblW w:w="9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814"/>
        <w:gridCol w:w="2948"/>
        <w:gridCol w:w="1701"/>
        <w:gridCol w:w="1559"/>
      </w:tblGrid>
      <w:tr w:rsidR="00675FFB" w:rsidRPr="00675FFB" w:rsidTr="00675FFB">
        <w:trPr>
          <w:trHeight w:val="336"/>
        </w:trPr>
        <w:tc>
          <w:tcPr>
            <w:tcW w:w="107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Loại đất</w:t>
            </w:r>
          </w:p>
        </w:tc>
        <w:tc>
          <w:tcPr>
            <w:tcW w:w="1814"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Địa điểm</w:t>
            </w:r>
          </w:p>
        </w:tc>
        <w:tc>
          <w:tcPr>
            <w:tcW w:w="2948"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Giá đất theo QĐ số 62/2019/QĐ-UBND ngày 31/12/2019 của UBND tỉnh Vĩnh Phúc) (đ/m</w:t>
            </w:r>
            <w:r w:rsidRPr="00675FFB">
              <w:rPr>
                <w:rFonts w:ascii="Times New Roman" w:eastAsia="Times New Roman" w:hAnsi="Times New Roman" w:cs="Times New Roman"/>
                <w:b/>
                <w:noProof/>
                <w:color w:val="000000"/>
                <w:sz w:val="24"/>
                <w:szCs w:val="24"/>
                <w:vertAlign w:val="superscript"/>
              </w:rPr>
              <w:t>2</w:t>
            </w:r>
            <w:r w:rsidRPr="00675FFB">
              <w:rPr>
                <w:rFonts w:ascii="Times New Roman" w:eastAsia="Times New Roman" w:hAnsi="Times New Roman" w:cs="Times New Roman"/>
                <w:b/>
                <w:noProof/>
                <w:color w:val="000000"/>
                <w:sz w:val="24"/>
                <w:szCs w:val="24"/>
              </w:rPr>
              <w:t>)</w:t>
            </w:r>
          </w:p>
        </w:tc>
        <w:tc>
          <w:tcPr>
            <w:tcW w:w="1701"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Giá đất Đơn vị tư vấn đề xuất (đ/m</w:t>
            </w:r>
            <w:r w:rsidRPr="00675FFB">
              <w:rPr>
                <w:rFonts w:ascii="Times New Roman" w:eastAsia="Times New Roman" w:hAnsi="Times New Roman" w:cs="Times New Roman"/>
                <w:b/>
                <w:noProof/>
                <w:color w:val="000000"/>
                <w:sz w:val="24"/>
                <w:szCs w:val="24"/>
                <w:vertAlign w:val="superscript"/>
              </w:rPr>
              <w:t>2</w:t>
            </w:r>
            <w:r w:rsidRPr="00675FFB">
              <w:rPr>
                <w:rFonts w:ascii="Times New Roman" w:eastAsia="Times New Roman" w:hAnsi="Times New Roman" w:cs="Times New Roman"/>
                <w:b/>
                <w:noProof/>
                <w:color w:val="000000"/>
                <w:sz w:val="24"/>
                <w:szCs w:val="24"/>
              </w:rPr>
              <w:t>)</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Hệ số điều chỉnh phê duyệt</w:t>
            </w:r>
          </w:p>
        </w:tc>
      </w:tr>
      <w:tr w:rsidR="00675FFB" w:rsidRPr="00675FFB" w:rsidTr="00675FFB">
        <w:trPr>
          <w:trHeight w:val="234"/>
        </w:trPr>
        <w:tc>
          <w:tcPr>
            <w:tcW w:w="107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LUC</w:t>
            </w:r>
          </w:p>
        </w:tc>
        <w:tc>
          <w:tcPr>
            <w:tcW w:w="1814" w:type="dxa"/>
            <w:vMerge w:val="restart"/>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TT Đạo Đức</w:t>
            </w:r>
          </w:p>
        </w:tc>
        <w:tc>
          <w:tcPr>
            <w:tcW w:w="2948"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60.000</w:t>
            </w:r>
          </w:p>
        </w:tc>
        <w:tc>
          <w:tcPr>
            <w:tcW w:w="1701"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72.000</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1,2</w:t>
            </w:r>
          </w:p>
        </w:tc>
      </w:tr>
      <w:tr w:rsidR="00675FFB" w:rsidRPr="00675FFB" w:rsidTr="00675FFB">
        <w:trPr>
          <w:trHeight w:val="295"/>
        </w:trPr>
        <w:tc>
          <w:tcPr>
            <w:tcW w:w="107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BHK</w:t>
            </w:r>
          </w:p>
        </w:tc>
        <w:tc>
          <w:tcPr>
            <w:tcW w:w="1814" w:type="dxa"/>
            <w:vMerge/>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p>
        </w:tc>
        <w:tc>
          <w:tcPr>
            <w:tcW w:w="2948"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60.000</w:t>
            </w:r>
          </w:p>
        </w:tc>
        <w:tc>
          <w:tcPr>
            <w:tcW w:w="1701"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72.000</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1,2</w:t>
            </w:r>
          </w:p>
        </w:tc>
      </w:tr>
      <w:tr w:rsidR="00675FFB" w:rsidRPr="00675FFB" w:rsidTr="00675FFB">
        <w:trPr>
          <w:trHeight w:val="357"/>
        </w:trPr>
        <w:tc>
          <w:tcPr>
            <w:tcW w:w="107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NTS</w:t>
            </w:r>
          </w:p>
        </w:tc>
        <w:tc>
          <w:tcPr>
            <w:tcW w:w="1814" w:type="dxa"/>
            <w:vMerge/>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p>
        </w:tc>
        <w:tc>
          <w:tcPr>
            <w:tcW w:w="2948"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60.000</w:t>
            </w:r>
          </w:p>
        </w:tc>
        <w:tc>
          <w:tcPr>
            <w:tcW w:w="1701"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72.000</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1,2</w:t>
            </w:r>
          </w:p>
        </w:tc>
      </w:tr>
      <w:tr w:rsidR="00675FFB" w:rsidRPr="00675FFB" w:rsidTr="00675FFB">
        <w:trPr>
          <w:trHeight w:val="264"/>
        </w:trPr>
        <w:tc>
          <w:tcPr>
            <w:tcW w:w="107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NHK</w:t>
            </w:r>
          </w:p>
        </w:tc>
        <w:tc>
          <w:tcPr>
            <w:tcW w:w="1814" w:type="dxa"/>
            <w:vMerge/>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p>
        </w:tc>
        <w:tc>
          <w:tcPr>
            <w:tcW w:w="2948"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60.000</w:t>
            </w:r>
          </w:p>
        </w:tc>
        <w:tc>
          <w:tcPr>
            <w:tcW w:w="1701"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72.000</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1,2</w:t>
            </w:r>
          </w:p>
        </w:tc>
      </w:tr>
    </w:tbl>
    <w:p w:rsidR="00255948" w:rsidRDefault="00255948" w:rsidP="00675FFB">
      <w:pPr>
        <w:spacing w:before="120" w:after="120" w:line="240" w:lineRule="auto"/>
        <w:ind w:firstLine="567"/>
        <w:jc w:val="both"/>
        <w:rPr>
          <w:rFonts w:ascii="Times New Roman" w:eastAsia="Times New Roman" w:hAnsi="Times New Roman"/>
          <w:b/>
          <w:sz w:val="28"/>
          <w:szCs w:val="28"/>
        </w:rPr>
      </w:pPr>
      <w:r w:rsidRPr="00702DDD">
        <w:rPr>
          <w:rFonts w:ascii="Times New Roman" w:eastAsia="Courier New" w:hAnsi="Times New Roman" w:cs="Times New Roman"/>
          <w:b/>
          <w:sz w:val="28"/>
          <w:szCs w:val="28"/>
          <w:lang w:val="nl-NL"/>
        </w:rPr>
        <w:t xml:space="preserve">2. </w:t>
      </w:r>
      <w:r>
        <w:rPr>
          <w:rFonts w:ascii="Times New Roman" w:eastAsia="Courier New" w:hAnsi="Times New Roman" w:cs="Times New Roman"/>
          <w:b/>
          <w:sz w:val="28"/>
          <w:szCs w:val="28"/>
          <w:lang w:val="nl-NL"/>
        </w:rPr>
        <w:t>Đất ở</w:t>
      </w:r>
    </w:p>
    <w:tbl>
      <w:tblPr>
        <w:tblW w:w="9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835"/>
        <w:gridCol w:w="2410"/>
        <w:gridCol w:w="1559"/>
        <w:gridCol w:w="1417"/>
      </w:tblGrid>
      <w:tr w:rsidR="00675FFB" w:rsidRPr="00675FFB" w:rsidTr="00675FFB">
        <w:trPr>
          <w:trHeight w:val="311"/>
        </w:trPr>
        <w:tc>
          <w:tcPr>
            <w:tcW w:w="90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Loại đất</w:t>
            </w:r>
          </w:p>
        </w:tc>
        <w:tc>
          <w:tcPr>
            <w:tcW w:w="2835"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Địa điểm</w:t>
            </w:r>
          </w:p>
        </w:tc>
        <w:tc>
          <w:tcPr>
            <w:tcW w:w="2410"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Giá đất theo QĐ số 62/2019/QĐ-UBND ngày 31/12/2019 của UBND tỉnh Vĩnh Phúc) (đ/m</w:t>
            </w:r>
            <w:r w:rsidRPr="00675FFB">
              <w:rPr>
                <w:rFonts w:ascii="Times New Roman" w:eastAsia="Times New Roman" w:hAnsi="Times New Roman" w:cs="Times New Roman"/>
                <w:b/>
                <w:noProof/>
                <w:color w:val="000000"/>
                <w:sz w:val="24"/>
                <w:szCs w:val="24"/>
                <w:vertAlign w:val="superscript"/>
              </w:rPr>
              <w:t>2</w:t>
            </w:r>
            <w:r w:rsidRPr="00675FFB">
              <w:rPr>
                <w:rFonts w:ascii="Times New Roman" w:eastAsia="Times New Roman" w:hAnsi="Times New Roman" w:cs="Times New Roman"/>
                <w:b/>
                <w:noProof/>
                <w:color w:val="000000"/>
                <w:sz w:val="24"/>
                <w:szCs w:val="24"/>
              </w:rPr>
              <w:t>)</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Giá đất Đơn vị tư vấn đề xuất (đ/m</w:t>
            </w:r>
            <w:r w:rsidRPr="00675FFB">
              <w:rPr>
                <w:rFonts w:ascii="Times New Roman" w:eastAsia="Times New Roman" w:hAnsi="Times New Roman" w:cs="Times New Roman"/>
                <w:b/>
                <w:noProof/>
                <w:color w:val="000000"/>
                <w:sz w:val="24"/>
                <w:szCs w:val="24"/>
                <w:vertAlign w:val="superscript"/>
              </w:rPr>
              <w:t>2</w:t>
            </w:r>
            <w:r w:rsidRPr="00675FFB">
              <w:rPr>
                <w:rFonts w:ascii="Times New Roman" w:eastAsia="Times New Roman" w:hAnsi="Times New Roman" w:cs="Times New Roman"/>
                <w:b/>
                <w:noProof/>
                <w:color w:val="000000"/>
                <w:sz w:val="24"/>
                <w:szCs w:val="24"/>
              </w:rPr>
              <w:t>)</w:t>
            </w:r>
          </w:p>
        </w:tc>
        <w:tc>
          <w:tcPr>
            <w:tcW w:w="1417"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b/>
                <w:noProof/>
                <w:color w:val="000000"/>
                <w:sz w:val="24"/>
                <w:szCs w:val="24"/>
              </w:rPr>
            </w:pPr>
            <w:r w:rsidRPr="00675FFB">
              <w:rPr>
                <w:rFonts w:ascii="Times New Roman" w:eastAsia="Times New Roman" w:hAnsi="Times New Roman" w:cs="Times New Roman"/>
                <w:b/>
                <w:noProof/>
                <w:color w:val="000000"/>
                <w:sz w:val="24"/>
                <w:szCs w:val="24"/>
              </w:rPr>
              <w:t>Hệ số điều chỉnh phê duyệt</w:t>
            </w:r>
          </w:p>
        </w:tc>
      </w:tr>
      <w:tr w:rsidR="00675FFB" w:rsidRPr="00675FFB" w:rsidTr="00675FFB">
        <w:trPr>
          <w:trHeight w:val="527"/>
        </w:trPr>
        <w:tc>
          <w:tcPr>
            <w:tcW w:w="902"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ODT</w:t>
            </w:r>
          </w:p>
        </w:tc>
        <w:tc>
          <w:tcPr>
            <w:tcW w:w="2835"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Đường từ điểm giáp BV Đường sông qua cổng UBND xã đến Dốc Vọng thôn Mộ Đạo (Vị trí 3)</w:t>
            </w:r>
          </w:p>
        </w:tc>
        <w:tc>
          <w:tcPr>
            <w:tcW w:w="2410"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800.000</w:t>
            </w:r>
          </w:p>
        </w:tc>
        <w:tc>
          <w:tcPr>
            <w:tcW w:w="1559" w:type="dxa"/>
            <w:shd w:val="clear" w:color="auto" w:fill="auto"/>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3.900.000</w:t>
            </w:r>
          </w:p>
        </w:tc>
        <w:tc>
          <w:tcPr>
            <w:tcW w:w="1417" w:type="dxa"/>
            <w:vAlign w:val="center"/>
          </w:tcPr>
          <w:p w:rsidR="00675FFB" w:rsidRPr="00675FFB" w:rsidRDefault="00675FFB" w:rsidP="00675FFB">
            <w:pPr>
              <w:spacing w:before="40" w:after="40" w:line="240" w:lineRule="auto"/>
              <w:jc w:val="center"/>
              <w:rPr>
                <w:rFonts w:ascii="Times New Roman" w:eastAsia="Times New Roman" w:hAnsi="Times New Roman" w:cs="Times New Roman"/>
                <w:noProof/>
                <w:color w:val="000000"/>
                <w:sz w:val="24"/>
                <w:szCs w:val="24"/>
              </w:rPr>
            </w:pPr>
            <w:r w:rsidRPr="00675FFB">
              <w:rPr>
                <w:rFonts w:ascii="Times New Roman" w:eastAsia="Times New Roman" w:hAnsi="Times New Roman" w:cs="Times New Roman"/>
                <w:noProof/>
                <w:color w:val="000000"/>
                <w:sz w:val="24"/>
                <w:szCs w:val="24"/>
              </w:rPr>
              <w:t>4,9</w:t>
            </w:r>
          </w:p>
        </w:tc>
      </w:tr>
    </w:tbl>
    <w:p w:rsidR="00675FFB" w:rsidRPr="003E6E66" w:rsidRDefault="00675FFB" w:rsidP="00675FFB">
      <w:pPr>
        <w:widowControl w:val="0"/>
        <w:spacing w:before="120" w:after="120" w:line="240" w:lineRule="auto"/>
        <w:ind w:firstLine="720"/>
        <w:jc w:val="both"/>
        <w:rPr>
          <w:rFonts w:ascii="Times New Roman" w:hAnsi="Times New Roman"/>
          <w:bCs/>
          <w:sz w:val="28"/>
          <w:szCs w:val="28"/>
          <w:lang w:val="nl-NL"/>
        </w:rPr>
      </w:pPr>
      <w:r w:rsidRPr="003E6E66">
        <w:rPr>
          <w:rFonts w:ascii="Times New Roman" w:hAnsi="Times New Roman"/>
          <w:b/>
          <w:bCs/>
          <w:sz w:val="28"/>
          <w:szCs w:val="28"/>
          <w:lang w:val="nl-NL"/>
        </w:rPr>
        <w:t xml:space="preserve">Điều 2. </w:t>
      </w:r>
      <w:r w:rsidRPr="003E6E66">
        <w:rPr>
          <w:rFonts w:ascii="Times New Roman" w:hAnsi="Times New Roman"/>
          <w:bCs/>
          <w:sz w:val="28"/>
          <w:szCs w:val="28"/>
          <w:lang w:val="nl-NL"/>
        </w:rPr>
        <w:t>Tổ chức thực hiện:</w:t>
      </w:r>
    </w:p>
    <w:p w:rsidR="00675FFB" w:rsidRPr="003E6E66" w:rsidRDefault="00675FFB" w:rsidP="00675FFB">
      <w:pPr>
        <w:widowControl w:val="0"/>
        <w:spacing w:after="120" w:line="240" w:lineRule="auto"/>
        <w:ind w:firstLine="720"/>
        <w:jc w:val="both"/>
        <w:rPr>
          <w:rFonts w:ascii="Times New Roman" w:hAnsi="Times New Roman"/>
          <w:bCs/>
          <w:spacing w:val="-2"/>
          <w:sz w:val="28"/>
          <w:szCs w:val="28"/>
          <w:lang w:val="nl-NL"/>
        </w:rPr>
      </w:pPr>
      <w:r w:rsidRPr="003E6E66">
        <w:rPr>
          <w:rFonts w:ascii="Times New Roman" w:hAnsi="Times New Roman"/>
          <w:bCs/>
          <w:spacing w:val="-2"/>
          <w:sz w:val="28"/>
          <w:szCs w:val="28"/>
          <w:lang w:val="nl-NL"/>
        </w:rPr>
        <w:t xml:space="preserve">1. </w:t>
      </w:r>
      <w:r w:rsidRPr="003E6E66">
        <w:rPr>
          <w:rFonts w:ascii="Times New Roman" w:eastAsia="Times New Roman" w:hAnsi="Times New Roman" w:cs="Times New Roman"/>
          <w:bCs/>
          <w:spacing w:val="-2"/>
          <w:sz w:val="28"/>
          <w:szCs w:val="28"/>
          <w:lang w:val="nl-NL"/>
        </w:rPr>
        <w:t>UBND huyện Bình Xuyên căn cứ vào hệ số điều chỉnh giá đất cụ thể được phê duyệt tại Điều 1, chỉ đạo các đơn vị liên quan lập phương án bồi thường, hỗ trợ, GPMB và trình cấp thẩm quyền phê duyệt theo quy định hiện hành</w:t>
      </w:r>
      <w:r w:rsidRPr="003E6E66">
        <w:rPr>
          <w:rFonts w:ascii="Times New Roman" w:hAnsi="Times New Roman"/>
          <w:bCs/>
          <w:spacing w:val="-2"/>
          <w:sz w:val="28"/>
          <w:szCs w:val="28"/>
          <w:lang w:val="nl-NL"/>
        </w:rPr>
        <w:t>.</w:t>
      </w:r>
    </w:p>
    <w:p w:rsidR="00675FFB" w:rsidRPr="003E6E66" w:rsidRDefault="00675FFB" w:rsidP="00675FFB">
      <w:pPr>
        <w:widowControl w:val="0"/>
        <w:spacing w:after="120" w:line="240" w:lineRule="auto"/>
        <w:ind w:firstLine="720"/>
        <w:jc w:val="both"/>
        <w:rPr>
          <w:rFonts w:ascii="Times New Roman" w:hAnsi="Times New Roman"/>
          <w:bCs/>
          <w:spacing w:val="-2"/>
          <w:sz w:val="28"/>
          <w:szCs w:val="28"/>
          <w:lang w:val="nl-NL"/>
        </w:rPr>
      </w:pPr>
      <w:r w:rsidRPr="003E6E66">
        <w:rPr>
          <w:rFonts w:ascii="Times New Roman" w:hAnsi="Times New Roman"/>
          <w:bCs/>
          <w:spacing w:val="-2"/>
          <w:sz w:val="28"/>
          <w:szCs w:val="28"/>
          <w:lang w:val="nl-NL"/>
        </w:rPr>
        <w:t>2. Sở Tài nguyên và Môi trường, Sở Tài chính có trách nhiệm theo dõi, đôn đốc các đơn vị triển khai nếu có khó khăn, vướng mắc báo cáo ngay với UBND tỉnh để giải quyết kịp thời, đảm bảo thực hiện theo đúng quy định pháp luật.</w:t>
      </w:r>
    </w:p>
    <w:p w:rsidR="00675FFB" w:rsidRPr="003E6E66" w:rsidRDefault="00675FFB" w:rsidP="00675FFB">
      <w:pPr>
        <w:spacing w:after="120" w:line="240" w:lineRule="auto"/>
        <w:ind w:firstLine="720"/>
        <w:jc w:val="both"/>
        <w:rPr>
          <w:rFonts w:ascii="Times New Roman" w:hAnsi="Times New Roman"/>
          <w:bCs/>
          <w:sz w:val="28"/>
          <w:szCs w:val="28"/>
          <w:lang w:val="nl-NL"/>
        </w:rPr>
      </w:pPr>
      <w:r w:rsidRPr="003E6E66">
        <w:rPr>
          <w:rFonts w:ascii="Times New Roman" w:hAnsi="Times New Roman"/>
          <w:b/>
          <w:bCs/>
          <w:sz w:val="28"/>
          <w:szCs w:val="28"/>
          <w:lang w:val="nl-NL"/>
        </w:rPr>
        <w:t xml:space="preserve">Điều 3. </w:t>
      </w:r>
      <w:r w:rsidRPr="003E6E66">
        <w:rPr>
          <w:rFonts w:ascii="Times New Roman" w:hAnsi="Times New Roman"/>
          <w:bCs/>
          <w:sz w:val="28"/>
          <w:szCs w:val="28"/>
          <w:lang w:val="nl-NL"/>
        </w:rPr>
        <w:t>Quyết định này có hiệu lực kể từ ngày ký.</w:t>
      </w:r>
    </w:p>
    <w:p w:rsidR="00675FFB" w:rsidRPr="003E6E66" w:rsidRDefault="00675FFB" w:rsidP="00675FFB">
      <w:pPr>
        <w:spacing w:before="120" w:after="360" w:line="240" w:lineRule="auto"/>
        <w:ind w:firstLine="720"/>
        <w:jc w:val="both"/>
        <w:rPr>
          <w:rFonts w:ascii="Times New Roman" w:hAnsi="Times New Roman"/>
          <w:bCs/>
          <w:sz w:val="28"/>
          <w:szCs w:val="28"/>
          <w:lang w:val="nl-NL"/>
        </w:rPr>
      </w:pPr>
      <w:r w:rsidRPr="00AE22F1">
        <w:rPr>
          <w:rFonts w:ascii="Times New Roman" w:eastAsia="Times New Roman" w:hAnsi="Times New Roman" w:cs="Times New Roman"/>
          <w:bCs/>
          <w:sz w:val="28"/>
          <w:szCs w:val="28"/>
          <w:lang w:val="nl-NL"/>
        </w:rPr>
        <w:t xml:space="preserve">Chánh văn phòng UBND tỉnh, Thủ trưởng các ngành: Tài nguyên và Môi trường, Tài chính, Kế hoạch và Đầu tư, Xây dựng, Cục Thuế, Kho bạc nhà nước tỉnh, Chủ tịch UBND huyện </w:t>
      </w:r>
      <w:r>
        <w:rPr>
          <w:rFonts w:ascii="Times New Roman" w:eastAsia="Times New Roman" w:hAnsi="Times New Roman" w:cs="Times New Roman"/>
          <w:bCs/>
          <w:sz w:val="28"/>
          <w:szCs w:val="28"/>
          <w:lang w:val="nl-NL"/>
        </w:rPr>
        <w:t>Bình Xuyên</w:t>
      </w:r>
      <w:r w:rsidRPr="00AE22F1">
        <w:rPr>
          <w:rFonts w:ascii="Times New Roman" w:eastAsia="Times New Roman" w:hAnsi="Times New Roman" w:cs="Times New Roman"/>
          <w:bCs/>
          <w:sz w:val="28"/>
          <w:szCs w:val="28"/>
          <w:lang w:val="nl-NL"/>
        </w:rPr>
        <w:t xml:space="preserve"> và Thủ trưởng các cơ quan, cá nhân liên quan căn cứ quyết định thi hành</w:t>
      </w:r>
      <w:r w:rsidRPr="003E6E66">
        <w:rPr>
          <w:rFonts w:ascii="Times New Roman" w:hAnsi="Times New Roman"/>
          <w:bCs/>
          <w:sz w:val="28"/>
          <w:szCs w:val="28"/>
          <w:lang w:val="nl-NL"/>
        </w:rPr>
        <w:t>./.</w:t>
      </w:r>
    </w:p>
    <w:tbl>
      <w:tblPr>
        <w:tblW w:w="0" w:type="auto"/>
        <w:tblInd w:w="108" w:type="dxa"/>
        <w:tblLook w:val="0000" w:firstRow="0" w:lastRow="0" w:firstColumn="0" w:lastColumn="0" w:noHBand="0" w:noVBand="0"/>
      </w:tblPr>
      <w:tblGrid>
        <w:gridCol w:w="4461"/>
        <w:gridCol w:w="4460"/>
      </w:tblGrid>
      <w:tr w:rsidR="00675FFB" w:rsidRPr="003E6E66" w:rsidTr="0031793C">
        <w:tc>
          <w:tcPr>
            <w:tcW w:w="4546" w:type="dxa"/>
            <w:tcBorders>
              <w:top w:val="nil"/>
              <w:left w:val="nil"/>
              <w:bottom w:val="nil"/>
              <w:right w:val="nil"/>
            </w:tcBorders>
          </w:tcPr>
          <w:p w:rsidR="00675FFB" w:rsidRPr="003E6E66" w:rsidRDefault="00675FFB" w:rsidP="0031793C">
            <w:pPr>
              <w:spacing w:after="0" w:line="240" w:lineRule="auto"/>
              <w:jc w:val="both"/>
              <w:rPr>
                <w:rFonts w:ascii="Times New Roman" w:hAnsi="Times New Roman" w:cs="Times New Roman"/>
                <w:b/>
                <w:bCs/>
              </w:rPr>
            </w:pPr>
          </w:p>
        </w:tc>
        <w:tc>
          <w:tcPr>
            <w:tcW w:w="4526" w:type="dxa"/>
            <w:tcBorders>
              <w:top w:val="nil"/>
              <w:left w:val="nil"/>
              <w:bottom w:val="nil"/>
              <w:right w:val="nil"/>
            </w:tcBorders>
          </w:tcPr>
          <w:p w:rsidR="00675FFB" w:rsidRPr="003E6E66" w:rsidRDefault="00675FFB" w:rsidP="0031793C">
            <w:pPr>
              <w:tabs>
                <w:tab w:val="left" w:pos="284"/>
              </w:tabs>
              <w:spacing w:after="0" w:line="240" w:lineRule="auto"/>
              <w:jc w:val="center"/>
              <w:rPr>
                <w:rFonts w:ascii="Times New Roman" w:hAnsi="Times New Roman" w:cs="Times New Roman"/>
                <w:b/>
                <w:bCs/>
                <w:sz w:val="28"/>
                <w:szCs w:val="28"/>
              </w:rPr>
            </w:pPr>
            <w:r w:rsidRPr="003E6E66">
              <w:rPr>
                <w:rFonts w:ascii="Times New Roman" w:hAnsi="Times New Roman" w:cs="Times New Roman"/>
                <w:b/>
                <w:bCs/>
                <w:sz w:val="28"/>
                <w:szCs w:val="28"/>
              </w:rPr>
              <w:t>TM. ỦY BAN NHÂN DÂN</w:t>
            </w:r>
          </w:p>
          <w:p w:rsidR="00675FFB" w:rsidRPr="003E6E66" w:rsidRDefault="00675FFB" w:rsidP="0031793C">
            <w:pPr>
              <w:tabs>
                <w:tab w:val="left" w:pos="284"/>
              </w:tabs>
              <w:spacing w:after="0" w:line="240" w:lineRule="auto"/>
              <w:jc w:val="center"/>
              <w:rPr>
                <w:rFonts w:ascii="Times New Roman" w:hAnsi="Times New Roman" w:cs="Times New Roman"/>
                <w:b/>
                <w:bCs/>
                <w:sz w:val="28"/>
                <w:szCs w:val="28"/>
              </w:rPr>
            </w:pPr>
            <w:r w:rsidRPr="003E6E66">
              <w:rPr>
                <w:rFonts w:ascii="Times New Roman" w:hAnsi="Times New Roman" w:cs="Times New Roman"/>
                <w:b/>
                <w:bCs/>
                <w:sz w:val="28"/>
                <w:szCs w:val="28"/>
              </w:rPr>
              <w:t>KT. CHỦ TỊCH</w:t>
            </w:r>
          </w:p>
          <w:p w:rsidR="00675FFB" w:rsidRPr="003E6E66" w:rsidRDefault="00675FFB" w:rsidP="0031793C">
            <w:pPr>
              <w:tabs>
                <w:tab w:val="left" w:pos="284"/>
              </w:tabs>
              <w:spacing w:after="0" w:line="240" w:lineRule="auto"/>
              <w:jc w:val="center"/>
              <w:rPr>
                <w:rFonts w:ascii="Times New Roman" w:hAnsi="Times New Roman" w:cs="Times New Roman"/>
                <w:b/>
                <w:sz w:val="28"/>
                <w:szCs w:val="28"/>
              </w:rPr>
            </w:pPr>
            <w:r w:rsidRPr="003E6E66">
              <w:rPr>
                <w:rFonts w:ascii="Times New Roman" w:hAnsi="Times New Roman" w:cs="Times New Roman"/>
                <w:b/>
                <w:bCs/>
                <w:sz w:val="28"/>
                <w:szCs w:val="28"/>
              </w:rPr>
              <w:t>PHÓ CHỦ TỊCH</w:t>
            </w:r>
          </w:p>
          <w:p w:rsidR="00675FFB" w:rsidRPr="003E6E66" w:rsidRDefault="00675FFB" w:rsidP="0031793C">
            <w:pPr>
              <w:tabs>
                <w:tab w:val="left" w:pos="284"/>
              </w:tabs>
              <w:spacing w:after="0" w:line="240" w:lineRule="auto"/>
              <w:jc w:val="center"/>
              <w:rPr>
                <w:rFonts w:ascii="Times New Roman" w:hAnsi="Times New Roman" w:cs="Times New Roman"/>
                <w:b/>
                <w:bCs/>
                <w:sz w:val="28"/>
                <w:szCs w:val="28"/>
              </w:rPr>
            </w:pPr>
          </w:p>
          <w:p w:rsidR="00675FFB" w:rsidRPr="003E6E66" w:rsidRDefault="00675FFB" w:rsidP="0031793C">
            <w:pPr>
              <w:pStyle w:val="BodyText"/>
              <w:spacing w:before="0" w:after="0" w:line="240" w:lineRule="auto"/>
              <w:jc w:val="center"/>
              <w:rPr>
                <w:rFonts w:ascii="Times New Roman" w:hAnsi="Times New Roman" w:cs="Times New Roman"/>
                <w:b/>
                <w:bCs/>
                <w:sz w:val="28"/>
                <w:szCs w:val="28"/>
              </w:rPr>
            </w:pPr>
            <w:bookmarkStart w:id="0" w:name="_GoBack"/>
            <w:bookmarkEnd w:id="0"/>
            <w:r w:rsidRPr="003E6E66">
              <w:rPr>
                <w:rFonts w:ascii="Times New Roman" w:hAnsi="Times New Roman" w:cs="Times New Roman"/>
                <w:b/>
                <w:bCs/>
                <w:sz w:val="28"/>
                <w:szCs w:val="28"/>
              </w:rPr>
              <w:t>Nguyễn Văn Khước</w:t>
            </w:r>
          </w:p>
        </w:tc>
      </w:tr>
    </w:tbl>
    <w:p w:rsidR="007C29AF" w:rsidRDefault="007C29AF" w:rsidP="00675FFB"/>
    <w:sectPr w:rsidR="007C29AF" w:rsidSect="00080A0B">
      <w:headerReference w:type="default" r:id="rId6"/>
      <w:footerReference w:type="even" r:id="rId7"/>
      <w:footerReference w:type="default" r:id="rId8"/>
      <w:pgSz w:w="11909" w:h="16834"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1B" w:rsidRDefault="00A3171B">
      <w:pPr>
        <w:spacing w:after="0" w:line="240" w:lineRule="auto"/>
      </w:pPr>
      <w:r>
        <w:separator/>
      </w:r>
    </w:p>
  </w:endnote>
  <w:endnote w:type="continuationSeparator" w:id="0">
    <w:p w:rsidR="00A3171B" w:rsidRDefault="00A3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88" w:rsidRDefault="0052309D" w:rsidP="00B453A7">
    <w:pPr>
      <w:pStyle w:val="Footer"/>
      <w:framePr w:wrap="around" w:vAnchor="text" w:hAnchor="margin" w:xAlign="right" w:y="1"/>
      <w:rPr>
        <w:rStyle w:val="PageNumber"/>
      </w:rPr>
    </w:pPr>
    <w:r>
      <w:rPr>
        <w:rStyle w:val="PageNumber"/>
      </w:rPr>
      <w:fldChar w:fldCharType="begin"/>
    </w:r>
    <w:r w:rsidR="00882EE9">
      <w:rPr>
        <w:rStyle w:val="PageNumber"/>
      </w:rPr>
      <w:instrText xml:space="preserve">PAGE  </w:instrText>
    </w:r>
    <w:r>
      <w:rPr>
        <w:rStyle w:val="PageNumber"/>
      </w:rPr>
      <w:fldChar w:fldCharType="end"/>
    </w:r>
  </w:p>
  <w:p w:rsidR="003A4588" w:rsidRDefault="00A3171B" w:rsidP="00B453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88" w:rsidRDefault="00A3171B" w:rsidP="00B453A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1B" w:rsidRDefault="00A3171B">
      <w:pPr>
        <w:spacing w:after="0" w:line="240" w:lineRule="auto"/>
      </w:pPr>
      <w:r>
        <w:separator/>
      </w:r>
    </w:p>
  </w:footnote>
  <w:footnote w:type="continuationSeparator" w:id="0">
    <w:p w:rsidR="00A3171B" w:rsidRDefault="00A31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8019"/>
      <w:docPartObj>
        <w:docPartGallery w:val="Page Numbers (Top of Page)"/>
        <w:docPartUnique/>
      </w:docPartObj>
    </w:sdtPr>
    <w:sdtEndPr>
      <w:rPr>
        <w:noProof/>
      </w:rPr>
    </w:sdtEndPr>
    <w:sdtContent>
      <w:p w:rsidR="003A4588" w:rsidRDefault="00A3171B">
        <w:pPr>
          <w:pStyle w:val="Header"/>
          <w:jc w:val="center"/>
        </w:pPr>
      </w:p>
    </w:sdtContent>
  </w:sdt>
  <w:p w:rsidR="003A4588" w:rsidRDefault="00A3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28"/>
    <w:rsid w:val="00053D5A"/>
    <w:rsid w:val="00075621"/>
    <w:rsid w:val="00080A0B"/>
    <w:rsid w:val="00133A5C"/>
    <w:rsid w:val="00137582"/>
    <w:rsid w:val="00255948"/>
    <w:rsid w:val="003649DC"/>
    <w:rsid w:val="003D2FA7"/>
    <w:rsid w:val="004002EA"/>
    <w:rsid w:val="004560CA"/>
    <w:rsid w:val="0052309D"/>
    <w:rsid w:val="00581462"/>
    <w:rsid w:val="00675FFB"/>
    <w:rsid w:val="00737628"/>
    <w:rsid w:val="00746BDC"/>
    <w:rsid w:val="007666CA"/>
    <w:rsid w:val="007B2AEF"/>
    <w:rsid w:val="007C29AF"/>
    <w:rsid w:val="008156E5"/>
    <w:rsid w:val="00882EE9"/>
    <w:rsid w:val="008E5A81"/>
    <w:rsid w:val="00927AE8"/>
    <w:rsid w:val="00A3171B"/>
    <w:rsid w:val="00B45159"/>
    <w:rsid w:val="00B60363"/>
    <w:rsid w:val="00BC5EFA"/>
    <w:rsid w:val="00CF4F4E"/>
    <w:rsid w:val="00D4704F"/>
    <w:rsid w:val="00D47C2C"/>
    <w:rsid w:val="00DF12C7"/>
    <w:rsid w:val="00EC7BE2"/>
    <w:rsid w:val="00F71E4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E836"/>
  <w15:docId w15:val="{98295083-3A93-467F-A4C6-3ADCE31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28"/>
  </w:style>
  <w:style w:type="paragraph" w:styleId="Heading1">
    <w:name w:val="heading 1"/>
    <w:basedOn w:val="Normal"/>
    <w:next w:val="Normal"/>
    <w:link w:val="Heading1Char"/>
    <w:rsid w:val="00675FF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28"/>
  </w:style>
  <w:style w:type="character" w:styleId="PageNumber">
    <w:name w:val="page number"/>
    <w:basedOn w:val="DefaultParagraphFont"/>
    <w:rsid w:val="00737628"/>
  </w:style>
  <w:style w:type="paragraph" w:styleId="Header">
    <w:name w:val="header"/>
    <w:basedOn w:val="Normal"/>
    <w:link w:val="HeaderChar"/>
    <w:uiPriority w:val="99"/>
    <w:unhideWhenUsed/>
    <w:rsid w:val="0073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28"/>
  </w:style>
  <w:style w:type="character" w:customStyle="1" w:styleId="Heading1Char">
    <w:name w:val="Heading 1 Char"/>
    <w:basedOn w:val="DefaultParagraphFont"/>
    <w:link w:val="Heading1"/>
    <w:rsid w:val="00675FFB"/>
    <w:rPr>
      <w:rFonts w:ascii="Times New Roman" w:eastAsia="Times New Roman" w:hAnsi="Times New Roman" w:cs="Times New Roman"/>
      <w:b/>
      <w:bCs/>
      <w:sz w:val="26"/>
      <w:szCs w:val="24"/>
    </w:rPr>
  </w:style>
  <w:style w:type="character" w:customStyle="1" w:styleId="BodyTextChar">
    <w:name w:val="Body Text Char"/>
    <w:link w:val="BodyText"/>
    <w:locked/>
    <w:rsid w:val="00675FFB"/>
    <w:rPr>
      <w:sz w:val="27"/>
      <w:szCs w:val="27"/>
      <w:shd w:val="clear" w:color="auto" w:fill="FFFFFF"/>
    </w:rPr>
  </w:style>
  <w:style w:type="paragraph" w:styleId="BodyText">
    <w:name w:val="Body Text"/>
    <w:basedOn w:val="Normal"/>
    <w:link w:val="BodyTextChar"/>
    <w:rsid w:val="00675FFB"/>
    <w:pPr>
      <w:widowControl w:val="0"/>
      <w:shd w:val="clear" w:color="auto" w:fill="FFFFFF"/>
      <w:spacing w:before="120" w:after="120" w:line="240" w:lineRule="atLeast"/>
      <w:jc w:val="both"/>
    </w:pPr>
    <w:rPr>
      <w:sz w:val="27"/>
      <w:szCs w:val="27"/>
    </w:rPr>
  </w:style>
  <w:style w:type="character" w:customStyle="1" w:styleId="BodyTextChar1">
    <w:name w:val="Body Text Char1"/>
    <w:basedOn w:val="DefaultParagraphFont"/>
    <w:uiPriority w:val="99"/>
    <w:semiHidden/>
    <w:rsid w:val="0067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2023-05-19T07:51:00Z</cp:lastPrinted>
  <dcterms:created xsi:type="dcterms:W3CDTF">2023-05-23T07:47:00Z</dcterms:created>
  <dcterms:modified xsi:type="dcterms:W3CDTF">2023-05-23T07:47:00Z</dcterms:modified>
</cp:coreProperties>
</file>